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6" w:lineRule="exact"/>
        <w:rPr>
          <w:sz w:val="24"/>
          <w:szCs w:val="24"/>
          <w:color w:val="auto"/>
        </w:rPr>
      </w:pPr>
    </w:p>
    <w:p>
      <w:pPr>
        <w:spacing w:after="0"/>
        <w:rPr>
          <w:sz w:val="20"/>
          <w:szCs w:val="20"/>
          <w:color w:val="auto"/>
        </w:rPr>
      </w:pPr>
      <w:r>
        <w:rPr>
          <w:rFonts w:ascii="Arial" w:cs="Arial" w:eastAsia="Arial" w:hAnsi="Arial"/>
          <w:sz w:val="22"/>
          <w:szCs w:val="22"/>
          <w:color w:val="auto"/>
        </w:rPr>
        <w:t>March 19, 2021</w:t>
      </w:r>
    </w:p>
    <w:p>
      <w:pPr>
        <w:spacing w:after="0" w:line="21" w:lineRule="exact"/>
        <w:rPr>
          <w:sz w:val="24"/>
          <w:szCs w:val="24"/>
          <w:color w:val="auto"/>
        </w:rPr>
      </w:pPr>
    </w:p>
    <w:p>
      <w:pPr>
        <w:spacing w:after="0"/>
        <w:rPr>
          <w:sz w:val="20"/>
          <w:szCs w:val="20"/>
          <w:color w:val="auto"/>
        </w:rPr>
      </w:pPr>
      <w:r>
        <w:rPr>
          <w:rFonts w:ascii="Arial" w:cs="Arial" w:eastAsia="Arial" w:hAnsi="Arial"/>
          <w:sz w:val="22"/>
          <w:szCs w:val="22"/>
          <w:color w:val="auto"/>
        </w:rPr>
        <w:t>Office of Manufacturing,</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56" w:lineRule="exact"/>
        <w:rPr>
          <w:sz w:val="24"/>
          <w:szCs w:val="24"/>
          <w:color w:val="auto"/>
        </w:rPr>
      </w:pPr>
    </w:p>
    <w:p>
      <w:pPr>
        <w:ind w:left="20"/>
        <w:spacing w:after="0"/>
        <w:tabs>
          <w:tab w:leader="none" w:pos="164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Erin Purnell</w:t>
      </w:r>
    </w:p>
    <w:p>
      <w:pPr>
        <w:spacing w:after="0" w:line="395" w:lineRule="exact"/>
        <w:rPr>
          <w:sz w:val="24"/>
          <w:szCs w:val="24"/>
          <w:color w:val="auto"/>
        </w:rPr>
      </w:pPr>
    </w:p>
    <w:tbl>
      <w:tblPr>
        <w:tblLayout w:type="fixed"/>
        <w:tblInd w:w="1400" w:type="dxa"/>
        <w:tblCellMar>
          <w:top w:w="0" w:type="dxa"/>
          <w:left w:w="0" w:type="dxa"/>
          <w:bottom w:w="0" w:type="dxa"/>
          <w:right w:w="0" w:type="dxa"/>
        </w:tblCellMar>
      </w:tblPr>
      <w:tr>
        <w:trPr>
          <w:trHeight w:val="257"/>
        </w:trPr>
        <w:tc>
          <w:tcPr>
            <w:tcW w:w="980" w:type="dxa"/>
            <w:vAlign w:val="bottom"/>
          </w:tcPr>
          <w:p>
            <w:pPr>
              <w:spacing w:after="0"/>
              <w:rPr>
                <w:sz w:val="20"/>
                <w:szCs w:val="20"/>
                <w:color w:val="auto"/>
              </w:rPr>
            </w:pPr>
            <w:r>
              <w:rPr>
                <w:rFonts w:ascii="Arial" w:cs="Arial" w:eastAsia="Arial" w:hAnsi="Arial"/>
                <w:sz w:val="22"/>
                <w:szCs w:val="22"/>
                <w:color w:val="auto"/>
              </w:rPr>
              <w:t>Re:</w:t>
            </w:r>
          </w:p>
        </w:tc>
        <w:tc>
          <w:tcPr>
            <w:tcW w:w="6880" w:type="dxa"/>
            <w:vAlign w:val="bottom"/>
          </w:tcPr>
          <w:p>
            <w:pPr>
              <w:ind w:left="20"/>
              <w:spacing w:after="0"/>
              <w:rPr>
                <w:sz w:val="20"/>
                <w:szCs w:val="20"/>
                <w:color w:val="auto"/>
              </w:rPr>
            </w:pPr>
            <w:r>
              <w:rPr>
                <w:rFonts w:ascii="Arial" w:cs="Arial" w:eastAsia="Arial" w:hAnsi="Arial"/>
                <w:sz w:val="22"/>
                <w:szCs w:val="22"/>
                <w:color w:val="auto"/>
              </w:rPr>
              <w:t>Acceleration Request for Leonardo DRS, Inc.</w:t>
            </w:r>
          </w:p>
        </w:tc>
      </w:tr>
      <w:tr>
        <w:trPr>
          <w:trHeight w:val="256"/>
        </w:trPr>
        <w:tc>
          <w:tcPr>
            <w:tcW w:w="980" w:type="dxa"/>
            <w:vAlign w:val="bottom"/>
          </w:tcPr>
          <w:p>
            <w:pPr>
              <w:spacing w:after="0"/>
              <w:rPr>
                <w:sz w:val="22"/>
                <w:szCs w:val="22"/>
                <w:color w:val="auto"/>
              </w:rPr>
            </w:pPr>
          </w:p>
        </w:tc>
        <w:tc>
          <w:tcPr>
            <w:tcW w:w="6880" w:type="dxa"/>
            <w:vAlign w:val="bottom"/>
          </w:tcPr>
          <w:p>
            <w:pPr>
              <w:ind w:left="20"/>
              <w:spacing w:after="0"/>
              <w:rPr>
                <w:sz w:val="20"/>
                <w:szCs w:val="20"/>
                <w:color w:val="auto"/>
              </w:rPr>
            </w:pPr>
            <w:r>
              <w:rPr>
                <w:rFonts w:ascii="Arial" w:cs="Arial" w:eastAsia="Arial" w:hAnsi="Arial"/>
                <w:sz w:val="22"/>
                <w:szCs w:val="22"/>
                <w:color w:val="auto"/>
              </w:rPr>
              <w:t>Requested Date: March 23, 2021</w:t>
            </w:r>
          </w:p>
        </w:tc>
      </w:tr>
      <w:tr>
        <w:trPr>
          <w:trHeight w:val="257"/>
        </w:trPr>
        <w:tc>
          <w:tcPr>
            <w:tcW w:w="980" w:type="dxa"/>
            <w:vAlign w:val="bottom"/>
          </w:tcPr>
          <w:p>
            <w:pPr>
              <w:spacing w:after="0"/>
              <w:rPr>
                <w:sz w:val="22"/>
                <w:szCs w:val="22"/>
                <w:color w:val="auto"/>
              </w:rPr>
            </w:pPr>
          </w:p>
        </w:tc>
        <w:tc>
          <w:tcPr>
            <w:tcW w:w="6880" w:type="dxa"/>
            <w:vAlign w:val="bottom"/>
          </w:tcPr>
          <w:p>
            <w:pPr>
              <w:ind w:left="20"/>
              <w:spacing w:after="0"/>
              <w:rPr>
                <w:sz w:val="20"/>
                <w:szCs w:val="20"/>
                <w:color w:val="auto"/>
              </w:rPr>
            </w:pPr>
            <w:r>
              <w:rPr>
                <w:rFonts w:ascii="Arial" w:cs="Arial" w:eastAsia="Arial" w:hAnsi="Arial"/>
                <w:sz w:val="22"/>
                <w:szCs w:val="22"/>
                <w:color w:val="auto"/>
              </w:rPr>
              <w:t>Requested Time: 4:00 p.m., Eastern Standard Time</w:t>
            </w:r>
          </w:p>
        </w:tc>
      </w:tr>
      <w:tr>
        <w:trPr>
          <w:trHeight w:val="285"/>
        </w:trPr>
        <w:tc>
          <w:tcPr>
            <w:tcW w:w="980" w:type="dxa"/>
            <w:vAlign w:val="bottom"/>
          </w:tcPr>
          <w:p>
            <w:pPr>
              <w:spacing w:after="0"/>
              <w:rPr>
                <w:sz w:val="24"/>
                <w:szCs w:val="24"/>
                <w:color w:val="auto"/>
              </w:rPr>
            </w:pPr>
          </w:p>
        </w:tc>
        <w:tc>
          <w:tcPr>
            <w:tcW w:w="68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Registration Statement on Form S-1 (File No. 333-253583)</w:t>
            </w:r>
          </w:p>
        </w:tc>
      </w:tr>
    </w:tbl>
    <w:p>
      <w:pPr>
        <w:spacing w:after="0" w:line="303"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4"/>
          <w:szCs w:val="24"/>
          <w:color w:val="auto"/>
        </w:rPr>
      </w:pPr>
    </w:p>
    <w:p>
      <w:pPr>
        <w:ind w:firstLine="648"/>
        <w:spacing w:after="0" w:line="294" w:lineRule="auto"/>
        <w:rPr>
          <w:sz w:val="20"/>
          <w:szCs w:val="20"/>
          <w:color w:val="auto"/>
        </w:rPr>
      </w:pPr>
      <w:r>
        <w:rPr>
          <w:rFonts w:ascii="Arial" w:cs="Arial" w:eastAsia="Arial" w:hAnsi="Arial"/>
          <w:sz w:val="19"/>
          <w:szCs w:val="19"/>
          <w:color w:val="auto"/>
        </w:rPr>
        <w:t>In accordance with Rule 461 under the Securities Act of 1933, as amended (the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Goldman Sachs &amp; Co. LLC, BofA Securities, Inc. and J.P. Morgan Securities LLC, as representatives of the several underwriters, hereby join Leonardo DRS, Inc. in requesting that the Securities and Exchange Commission take appropriate action to cause the Registration Statement on Form S-1, as amended (File No. 333-253583)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to become effective on March 23, 2021, at 4:00 p.m., Eastern Standard Time, or as soon as practicable thereafter, or at such other time as Leonardo DRS, Inc. or its outside counsel, Sullivan &amp; Cromwell LLP, requests by telephone that such Registration Statement be declared effective.</w:t>
      </w:r>
    </w:p>
    <w:p>
      <w:pPr>
        <w:spacing w:after="0" w:line="149" w:lineRule="exact"/>
        <w:rPr>
          <w:sz w:val="24"/>
          <w:szCs w:val="24"/>
          <w:color w:val="auto"/>
        </w:rPr>
      </w:pPr>
    </w:p>
    <w:p>
      <w:pPr>
        <w:ind w:right="20" w:firstLine="648"/>
        <w:spacing w:after="0" w:line="253" w:lineRule="auto"/>
        <w:rPr>
          <w:sz w:val="20"/>
          <w:szCs w:val="20"/>
          <w:color w:val="auto"/>
        </w:rPr>
      </w:pPr>
      <w:r>
        <w:rPr>
          <w:rFonts w:ascii="Arial" w:cs="Arial" w:eastAsia="Arial" w:hAnsi="Arial"/>
          <w:sz w:val="22"/>
          <w:szCs w:val="22"/>
          <w:color w:val="auto"/>
        </w:rPr>
        <w:t>Pursuant to Rule 460 under the Act, please be advised that we will take reasonable steps to secure adequate distribution of the preliminary prospectus, to underwriters, dealers, institutions and others, prior to the requested effective time of the Registration Statement.</w:t>
      </w:r>
    </w:p>
    <w:p>
      <w:pPr>
        <w:spacing w:after="0" w:line="185" w:lineRule="exact"/>
        <w:rPr>
          <w:sz w:val="24"/>
          <w:szCs w:val="24"/>
          <w:color w:val="auto"/>
        </w:rPr>
      </w:pPr>
    </w:p>
    <w:p>
      <w:pPr>
        <w:ind w:right="440" w:firstLine="648"/>
        <w:spacing w:after="0" w:line="263" w:lineRule="auto"/>
        <w:rPr>
          <w:sz w:val="20"/>
          <w:szCs w:val="20"/>
          <w:color w:val="auto"/>
        </w:rPr>
      </w:pPr>
      <w:r>
        <w:rPr>
          <w:rFonts w:ascii="Arial" w:cs="Arial" w:eastAsia="Arial" w:hAnsi="Arial"/>
          <w:sz w:val="22"/>
          <w:szCs w:val="22"/>
          <w:color w:val="auto"/>
        </w:rPr>
        <w:t>We have been informed by the participating underwriters that they will comply with the requirements of Rule 15c2-8 under the Securities Exchange Act of 1934, as amended, to the extent applicable.</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ectPr>
          <w:pgSz w:w="11900" w:h="16838" w:orient="portrait"/>
          <w:cols w:equalWidth="0" w:num="1">
            <w:col w:w="11220"/>
          </w:cols>
          <w:pgMar w:left="320" w:top="1440" w:right="359" w:bottom="1440" w:gutter="0" w:footer="0" w:header="0"/>
        </w:sectPr>
      </w:pPr>
    </w:p>
    <w:bookmarkStart w:id="1" w:name="page2"/>
    <w:bookmarkEnd w:id="1"/>
    <w:p>
      <w:pPr>
        <w:spacing w:after="0" w:line="42" w:lineRule="exact"/>
        <w:rPr>
          <w:sz w:val="20"/>
          <w:szCs w:val="20"/>
          <w:color w:val="auto"/>
        </w:rPr>
      </w:pPr>
    </w:p>
    <w:p>
      <w:pPr>
        <w:ind w:left="6600"/>
        <w:spacing w:after="0"/>
        <w:rPr>
          <w:sz w:val="20"/>
          <w:szCs w:val="20"/>
          <w:color w:val="auto"/>
        </w:rPr>
      </w:pPr>
      <w:r>
        <w:rPr>
          <w:rFonts w:ascii="Arial" w:cs="Arial" w:eastAsia="Arial" w:hAnsi="Arial"/>
          <w:sz w:val="22"/>
          <w:szCs w:val="22"/>
          <w:color w:val="auto"/>
        </w:rPr>
        <w:t>Very truly yours,</w:t>
      </w:r>
    </w:p>
    <w:p>
      <w:pPr>
        <w:spacing w:after="0" w:line="328" w:lineRule="exact"/>
        <w:rPr>
          <w:sz w:val="20"/>
          <w:szCs w:val="20"/>
          <w:color w:val="auto"/>
        </w:rPr>
      </w:pPr>
    </w:p>
    <w:p>
      <w:pPr>
        <w:jc w:val="right"/>
        <w:ind w:right="1660"/>
        <w:spacing w:after="0"/>
        <w:rPr>
          <w:sz w:val="20"/>
          <w:szCs w:val="20"/>
          <w:color w:val="auto"/>
        </w:rPr>
      </w:pPr>
      <w:r>
        <w:rPr>
          <w:rFonts w:ascii="Arial" w:cs="Arial" w:eastAsia="Arial" w:hAnsi="Arial"/>
          <w:sz w:val="22"/>
          <w:szCs w:val="22"/>
          <w:color w:val="auto"/>
        </w:rPr>
        <w:t>GOLDMAN SACHS &amp; CO. LLC</w:t>
      </w:r>
    </w:p>
    <w:p>
      <w:pPr>
        <w:spacing w:after="0" w:line="335" w:lineRule="exact"/>
        <w:rPr>
          <w:sz w:val="20"/>
          <w:szCs w:val="20"/>
          <w:color w:val="auto"/>
        </w:rPr>
      </w:pPr>
    </w:p>
    <w:tbl>
      <w:tblPr>
        <w:tblLayout w:type="fixed"/>
        <w:tblInd w:w="6600" w:type="dxa"/>
        <w:tblCellMar>
          <w:top w:w="0" w:type="dxa"/>
          <w:left w:w="0" w:type="dxa"/>
          <w:bottom w:w="0" w:type="dxa"/>
          <w:right w:w="0" w:type="dxa"/>
        </w:tblCellMar>
      </w:tblPr>
      <w:tr>
        <w:trPr>
          <w:trHeight w:val="291"/>
        </w:trPr>
        <w:tc>
          <w:tcPr>
            <w:tcW w:w="1040" w:type="dxa"/>
            <w:vAlign w:val="bottom"/>
          </w:tcPr>
          <w:p>
            <w:pPr>
              <w:spacing w:after="0"/>
              <w:rPr>
                <w:sz w:val="20"/>
                <w:szCs w:val="20"/>
                <w:color w:val="auto"/>
              </w:rPr>
            </w:pPr>
            <w:r>
              <w:rPr>
                <w:rFonts w:ascii="Arial" w:cs="Arial" w:eastAsia="Arial" w:hAnsi="Arial"/>
                <w:sz w:val="22"/>
                <w:szCs w:val="22"/>
                <w:color w:val="auto"/>
              </w:rPr>
              <w:t>By:</w:t>
            </w:r>
          </w:p>
        </w:tc>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Goldman Sachs &amp; Co. LLC</w:t>
            </w:r>
          </w:p>
        </w:tc>
      </w:tr>
      <w:tr>
        <w:trPr>
          <w:trHeight w:val="280"/>
        </w:trPr>
        <w:tc>
          <w:tcPr>
            <w:tcW w:w="1040" w:type="dxa"/>
            <w:vAlign w:val="bottom"/>
          </w:tcPr>
          <w:p>
            <w:pPr>
              <w:spacing w:after="0"/>
              <w:rPr>
                <w:sz w:val="20"/>
                <w:szCs w:val="20"/>
                <w:color w:val="auto"/>
              </w:rPr>
            </w:pPr>
            <w:r>
              <w:rPr>
                <w:rFonts w:ascii="Arial" w:cs="Arial" w:eastAsia="Arial" w:hAnsi="Arial"/>
                <w:sz w:val="22"/>
                <w:szCs w:val="22"/>
                <w:color w:val="auto"/>
              </w:rPr>
              <w:t>Name:</w:t>
            </w:r>
          </w:p>
        </w:tc>
        <w:tc>
          <w:tcPr>
            <w:tcW w:w="3580" w:type="dxa"/>
            <w:vAlign w:val="bottom"/>
          </w:tcPr>
          <w:p>
            <w:pPr>
              <w:ind w:left="20"/>
              <w:spacing w:after="0"/>
              <w:rPr>
                <w:sz w:val="20"/>
                <w:szCs w:val="20"/>
                <w:color w:val="auto"/>
              </w:rPr>
            </w:pPr>
            <w:r>
              <w:rPr>
                <w:rFonts w:ascii="Arial" w:cs="Arial" w:eastAsia="Arial" w:hAnsi="Arial"/>
                <w:sz w:val="18"/>
                <w:szCs w:val="18"/>
                <w:color w:val="auto"/>
              </w:rPr>
              <w:t>Edward C. Eppler</w:t>
            </w:r>
          </w:p>
        </w:tc>
      </w:tr>
      <w:tr>
        <w:trPr>
          <w:trHeight w:val="311"/>
        </w:trPr>
        <w:tc>
          <w:tcPr>
            <w:tcW w:w="1040" w:type="dxa"/>
            <w:vAlign w:val="bottom"/>
          </w:tcPr>
          <w:p>
            <w:pPr>
              <w:spacing w:after="0"/>
              <w:rPr>
                <w:sz w:val="20"/>
                <w:szCs w:val="20"/>
                <w:color w:val="auto"/>
              </w:rPr>
            </w:pPr>
            <w:r>
              <w:rPr>
                <w:rFonts w:ascii="Arial" w:cs="Arial" w:eastAsia="Arial" w:hAnsi="Arial"/>
                <w:sz w:val="22"/>
                <w:szCs w:val="22"/>
                <w:color w:val="auto"/>
              </w:rPr>
              <w:t>Title:</w:t>
            </w:r>
          </w:p>
        </w:tc>
        <w:tc>
          <w:tcPr>
            <w:tcW w:w="3580" w:type="dxa"/>
            <w:vAlign w:val="bottom"/>
          </w:tcPr>
          <w:p>
            <w:pPr>
              <w:ind w:left="20"/>
              <w:spacing w:after="0"/>
              <w:rPr>
                <w:sz w:val="20"/>
                <w:szCs w:val="20"/>
                <w:color w:val="auto"/>
              </w:rPr>
            </w:pPr>
            <w:r>
              <w:rPr>
                <w:rFonts w:ascii="Arial" w:cs="Arial" w:eastAsia="Arial" w:hAnsi="Arial"/>
                <w:sz w:val="18"/>
                <w:szCs w:val="18"/>
                <w:color w:val="auto"/>
              </w:rPr>
              <w:t>Managing Director</w:t>
            </w:r>
          </w:p>
        </w:tc>
      </w:tr>
      <w:tr>
        <w:trPr>
          <w:trHeight w:val="756"/>
        </w:trPr>
        <w:tc>
          <w:tcPr>
            <w:tcW w:w="4620" w:type="dxa"/>
            <w:vAlign w:val="bottom"/>
            <w:gridSpan w:val="2"/>
          </w:tcPr>
          <w:p>
            <w:pPr>
              <w:spacing w:after="0"/>
              <w:rPr>
                <w:sz w:val="20"/>
                <w:szCs w:val="20"/>
                <w:color w:val="auto"/>
              </w:rPr>
            </w:pPr>
            <w:r>
              <w:rPr>
                <w:rFonts w:ascii="Arial" w:cs="Arial" w:eastAsia="Arial" w:hAnsi="Arial"/>
                <w:sz w:val="22"/>
                <w:szCs w:val="22"/>
                <w:color w:val="auto"/>
              </w:rPr>
              <w:t>BOFA SECURITIES, INC.</w:t>
            </w:r>
          </w:p>
        </w:tc>
      </w:tr>
      <w:tr>
        <w:trPr>
          <w:trHeight w:val="591"/>
        </w:trPr>
        <w:tc>
          <w:tcPr>
            <w:tcW w:w="1040" w:type="dxa"/>
            <w:vAlign w:val="bottom"/>
          </w:tcPr>
          <w:p>
            <w:pPr>
              <w:spacing w:after="0"/>
              <w:rPr>
                <w:sz w:val="20"/>
                <w:szCs w:val="20"/>
                <w:color w:val="auto"/>
              </w:rPr>
            </w:pPr>
            <w:r>
              <w:rPr>
                <w:rFonts w:ascii="Arial" w:cs="Arial" w:eastAsia="Arial" w:hAnsi="Arial"/>
                <w:sz w:val="22"/>
                <w:szCs w:val="22"/>
                <w:color w:val="auto"/>
              </w:rPr>
              <w:t>By:</w:t>
            </w:r>
          </w:p>
        </w:tc>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Liloia</w:t>
            </w:r>
          </w:p>
        </w:tc>
      </w:tr>
      <w:tr>
        <w:trPr>
          <w:trHeight w:val="280"/>
        </w:trPr>
        <w:tc>
          <w:tcPr>
            <w:tcW w:w="1040" w:type="dxa"/>
            <w:vAlign w:val="bottom"/>
          </w:tcPr>
          <w:p>
            <w:pPr>
              <w:spacing w:after="0"/>
              <w:rPr>
                <w:sz w:val="20"/>
                <w:szCs w:val="20"/>
                <w:color w:val="auto"/>
              </w:rPr>
            </w:pPr>
            <w:r>
              <w:rPr>
                <w:rFonts w:ascii="Arial" w:cs="Arial" w:eastAsia="Arial" w:hAnsi="Arial"/>
                <w:sz w:val="22"/>
                <w:szCs w:val="22"/>
                <w:color w:val="auto"/>
              </w:rPr>
              <w:t>Name:</w:t>
            </w:r>
          </w:p>
        </w:tc>
        <w:tc>
          <w:tcPr>
            <w:tcW w:w="3580" w:type="dxa"/>
            <w:vAlign w:val="bottom"/>
          </w:tcPr>
          <w:p>
            <w:pPr>
              <w:ind w:left="20"/>
              <w:spacing w:after="0"/>
              <w:rPr>
                <w:sz w:val="20"/>
                <w:szCs w:val="20"/>
                <w:color w:val="auto"/>
              </w:rPr>
            </w:pPr>
            <w:r>
              <w:rPr>
                <w:rFonts w:ascii="Arial" w:cs="Arial" w:eastAsia="Arial" w:hAnsi="Arial"/>
                <w:sz w:val="18"/>
                <w:szCs w:val="18"/>
                <w:color w:val="auto"/>
              </w:rPr>
              <w:t>Michael Liloia</w:t>
            </w:r>
          </w:p>
        </w:tc>
      </w:tr>
      <w:tr>
        <w:trPr>
          <w:trHeight w:val="310"/>
        </w:trPr>
        <w:tc>
          <w:tcPr>
            <w:tcW w:w="1040" w:type="dxa"/>
            <w:vAlign w:val="bottom"/>
          </w:tcPr>
          <w:p>
            <w:pPr>
              <w:spacing w:after="0"/>
              <w:rPr>
                <w:sz w:val="20"/>
                <w:szCs w:val="20"/>
                <w:color w:val="auto"/>
              </w:rPr>
            </w:pPr>
            <w:r>
              <w:rPr>
                <w:rFonts w:ascii="Arial" w:cs="Arial" w:eastAsia="Arial" w:hAnsi="Arial"/>
                <w:sz w:val="22"/>
                <w:szCs w:val="22"/>
                <w:color w:val="auto"/>
              </w:rPr>
              <w:t>Title:</w:t>
            </w:r>
          </w:p>
        </w:tc>
        <w:tc>
          <w:tcPr>
            <w:tcW w:w="35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743"/>
        </w:trPr>
        <w:tc>
          <w:tcPr>
            <w:tcW w:w="4620" w:type="dxa"/>
            <w:vAlign w:val="bottom"/>
            <w:gridSpan w:val="2"/>
          </w:tcPr>
          <w:p>
            <w:pPr>
              <w:spacing w:after="0"/>
              <w:rPr>
                <w:sz w:val="20"/>
                <w:szCs w:val="20"/>
                <w:color w:val="auto"/>
              </w:rPr>
            </w:pPr>
            <w:r>
              <w:rPr>
                <w:rFonts w:ascii="Arial" w:cs="Arial" w:eastAsia="Arial" w:hAnsi="Arial"/>
                <w:sz w:val="22"/>
                <w:szCs w:val="22"/>
                <w:color w:val="auto"/>
              </w:rPr>
              <w:t>J.P. MORGAN SECURITIES LLC</w:t>
            </w:r>
          </w:p>
        </w:tc>
      </w:tr>
      <w:tr>
        <w:trPr>
          <w:trHeight w:val="591"/>
        </w:trPr>
        <w:tc>
          <w:tcPr>
            <w:tcW w:w="1040" w:type="dxa"/>
            <w:vAlign w:val="bottom"/>
          </w:tcPr>
          <w:p>
            <w:pPr>
              <w:spacing w:after="0"/>
              <w:rPr>
                <w:sz w:val="20"/>
                <w:szCs w:val="20"/>
                <w:color w:val="auto"/>
              </w:rPr>
            </w:pPr>
            <w:r>
              <w:rPr>
                <w:rFonts w:ascii="Arial" w:cs="Arial" w:eastAsia="Arial" w:hAnsi="Arial"/>
                <w:sz w:val="22"/>
                <w:szCs w:val="22"/>
                <w:color w:val="auto"/>
              </w:rPr>
              <w:t>By:</w:t>
            </w:r>
          </w:p>
        </w:tc>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Jin Izawa</w:t>
            </w:r>
          </w:p>
        </w:tc>
      </w:tr>
      <w:tr>
        <w:trPr>
          <w:trHeight w:val="280"/>
        </w:trPr>
        <w:tc>
          <w:tcPr>
            <w:tcW w:w="1040" w:type="dxa"/>
            <w:vAlign w:val="bottom"/>
          </w:tcPr>
          <w:p>
            <w:pPr>
              <w:spacing w:after="0"/>
              <w:rPr>
                <w:sz w:val="20"/>
                <w:szCs w:val="20"/>
                <w:color w:val="auto"/>
              </w:rPr>
            </w:pPr>
            <w:r>
              <w:rPr>
                <w:rFonts w:ascii="Arial" w:cs="Arial" w:eastAsia="Arial" w:hAnsi="Arial"/>
                <w:sz w:val="22"/>
                <w:szCs w:val="22"/>
                <w:color w:val="auto"/>
              </w:rPr>
              <w:t>Name:</w:t>
            </w:r>
          </w:p>
        </w:tc>
        <w:tc>
          <w:tcPr>
            <w:tcW w:w="3580" w:type="dxa"/>
            <w:vAlign w:val="bottom"/>
          </w:tcPr>
          <w:p>
            <w:pPr>
              <w:ind w:left="20"/>
              <w:spacing w:after="0"/>
              <w:rPr>
                <w:sz w:val="20"/>
                <w:szCs w:val="20"/>
                <w:color w:val="auto"/>
              </w:rPr>
            </w:pPr>
            <w:r>
              <w:rPr>
                <w:rFonts w:ascii="Arial" w:cs="Arial" w:eastAsia="Arial" w:hAnsi="Arial"/>
                <w:sz w:val="18"/>
                <w:szCs w:val="18"/>
                <w:color w:val="auto"/>
              </w:rPr>
              <w:t>Jin Izawa</w:t>
            </w:r>
          </w:p>
        </w:tc>
      </w:tr>
      <w:tr>
        <w:trPr>
          <w:trHeight w:val="310"/>
        </w:trPr>
        <w:tc>
          <w:tcPr>
            <w:tcW w:w="1040" w:type="dxa"/>
            <w:vAlign w:val="bottom"/>
          </w:tcPr>
          <w:p>
            <w:pPr>
              <w:spacing w:after="0"/>
              <w:rPr>
                <w:sz w:val="20"/>
                <w:szCs w:val="20"/>
                <w:color w:val="auto"/>
              </w:rPr>
            </w:pPr>
            <w:r>
              <w:rPr>
                <w:rFonts w:ascii="Arial" w:cs="Arial" w:eastAsia="Arial" w:hAnsi="Arial"/>
                <w:sz w:val="22"/>
                <w:szCs w:val="22"/>
                <w:color w:val="auto"/>
              </w:rPr>
              <w:t>Title:</w:t>
            </w:r>
          </w:p>
        </w:tc>
        <w:tc>
          <w:tcPr>
            <w:tcW w:w="3580" w:type="dxa"/>
            <w:vAlign w:val="bottom"/>
          </w:tcPr>
          <w:p>
            <w:pPr>
              <w:ind w:left="20"/>
              <w:spacing w:after="0"/>
              <w:rPr>
                <w:sz w:val="20"/>
                <w:szCs w:val="20"/>
                <w:color w:val="auto"/>
              </w:rPr>
            </w:pPr>
            <w:r>
              <w:rPr>
                <w:rFonts w:ascii="Arial" w:cs="Arial" w:eastAsia="Arial" w:hAnsi="Arial"/>
                <w:sz w:val="18"/>
                <w:szCs w:val="18"/>
                <w:color w:val="auto"/>
              </w:rPr>
              <w:t>Executive Director</w:t>
            </w:r>
          </w:p>
        </w:tc>
      </w:tr>
    </w:tbl>
    <w:p>
      <w:pPr>
        <w:spacing w:after="0" w:line="200" w:lineRule="exact"/>
        <w:rPr>
          <w:sz w:val="20"/>
          <w:szCs w:val="20"/>
          <w:color w:val="auto"/>
        </w:rPr>
      </w:pPr>
    </w:p>
    <w:p>
      <w:pPr>
        <w:spacing w:after="0" w:line="282" w:lineRule="exact"/>
        <w:rPr>
          <w:sz w:val="20"/>
          <w:szCs w:val="20"/>
          <w:color w:val="auto"/>
        </w:rPr>
      </w:pPr>
    </w:p>
    <w:p>
      <w:pPr>
        <w:ind w:right="5780" w:firstLine="6"/>
        <w:spacing w:after="0" w:line="294" w:lineRule="auto"/>
        <w:tabs>
          <w:tab w:leader="none" w:pos="486" w:val="left"/>
        </w:tabs>
        <w:numPr>
          <w:ilvl w:val="0"/>
          <w:numId w:val="1"/>
        </w:numPr>
        <w:rPr>
          <w:rFonts w:ascii="Arial" w:cs="Arial" w:eastAsia="Arial" w:hAnsi="Arial"/>
          <w:sz w:val="22"/>
          <w:szCs w:val="22"/>
          <w:color w:val="auto"/>
        </w:rPr>
      </w:pPr>
      <w:r>
        <w:rPr>
          <w:rFonts w:ascii="Arial" w:cs="Arial" w:eastAsia="Arial" w:hAnsi="Arial"/>
          <w:sz w:val="22"/>
          <w:szCs w:val="22"/>
          <w:color w:val="auto"/>
        </w:rPr>
        <w:t>Geoffrey Kruczek, Securities and Exchange Commission Mark A. Dorfman, Leonardo DRS, Inc.</w:t>
      </w:r>
    </w:p>
    <w:p>
      <w:pPr>
        <w:spacing w:after="0" w:line="1" w:lineRule="exact"/>
        <w:rPr>
          <w:rFonts w:ascii="Arial" w:cs="Arial" w:eastAsia="Arial" w:hAnsi="Arial"/>
          <w:sz w:val="22"/>
          <w:szCs w:val="22"/>
          <w:color w:val="auto"/>
        </w:rPr>
      </w:pPr>
    </w:p>
    <w:p>
      <w:pPr>
        <w:ind w:right="6480"/>
        <w:spacing w:after="0" w:line="314" w:lineRule="auto"/>
        <w:rPr>
          <w:rFonts w:ascii="Arial" w:cs="Arial" w:eastAsia="Arial" w:hAnsi="Arial"/>
          <w:sz w:val="22"/>
          <w:szCs w:val="22"/>
          <w:color w:val="auto"/>
        </w:rPr>
      </w:pPr>
      <w:r>
        <w:rPr>
          <w:rFonts w:ascii="Arial" w:cs="Arial" w:eastAsia="Arial" w:hAnsi="Arial"/>
          <w:sz w:val="22"/>
          <w:szCs w:val="22"/>
          <w:color w:val="auto"/>
        </w:rPr>
        <w:t>Craig B. Brod, Cleary Gottlieb Steen &amp; Hamilton LLP Scott D. Miller, Sullivan &amp; Cromwell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Underwriters’ Acceleration Request</w:t>
      </w:r>
      <w:r>
        <w:rPr>
          <w:rFonts w:ascii="Arial" w:cs="Arial" w:eastAsia="Arial" w:hAnsi="Arial"/>
          <w:sz w:val="22"/>
          <w:szCs w:val="22"/>
          <w:color w:val="auto"/>
        </w:rPr>
        <w:t>]</w:t>
      </w:r>
    </w:p>
    <w:sectPr>
      <w:pgSz w:w="11900" w:h="16838" w:orient="portrait"/>
      <w:cols w:equalWidth="0" w:num="1">
        <w:col w:w="11220"/>
      </w:cols>
      <w:pgMar w:left="3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2021-08-15T20:47:57Z</dcterms:created>
  <dcterms:modified xsi:type="dcterms:W3CDTF">2021-08-15T20:47:57Z</dcterms:modified>
</cp:coreProperties>
</file>