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UNITED STATES</w:t>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SECURITIES AND EXCHANGE COMMISSION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bidi w:val="0"/>
        <w:spacing w:lineRule="auto" w:line="288" w:before="0" w:after="120"/>
        <w:jc w:val="center"/>
        <w:rPr>
          <w:rFonts w:ascii="Helvetica;sans-serif" w:hAnsi="Helvetica;sans-serif"/>
          <w:b/>
          <w:color w:val="000000"/>
          <w:sz w:val="40"/>
        </w:rPr>
      </w:pPr>
      <w:r>
        <w:rPr>
          <w:rFonts w:ascii="Helvetica;sans-serif" w:hAnsi="Helvetica;sans-serif"/>
          <w:b/>
          <w:color w:val="000000"/>
          <w:sz w:val="40"/>
        </w:rPr>
        <w:t>FORM 10-Q</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120"/>
        <w:jc w:val="center"/>
        <w:rPr>
          <w:color w:val="000000"/>
        </w:rPr>
      </w:pPr>
      <w:r>
        <w:rPr>
          <w:color w:val="000000"/>
        </w:rPr>
        <w:t>☒     </w:t>
      </w:r>
      <w:r>
        <w:rPr>
          <w:rFonts w:ascii="Helvetica;sans-serif" w:hAnsi="Helvetica;sans-serif"/>
          <w:b/>
          <w:color w:val="000000"/>
          <w:sz w:val="20"/>
        </w:rPr>
        <w:t xml:space="preserve">QUARTERLY REPORT PURSUANT TO SECTION 13 OR 15(d) OF THE SECURITIES EXCHANGE ACT OF 1934 </w:t>
      </w:r>
    </w:p>
    <w:p>
      <w:pPr>
        <w:pStyle w:val="TextBody"/>
        <w:bidi w:val="0"/>
        <w:spacing w:lineRule="auto" w:line="288" w:before="0" w:after="120"/>
        <w:jc w:val="center"/>
        <w:rPr>
          <w:rFonts w:ascii="Helvetica;sans-serif" w:hAnsi="Helvetica;sans-serif"/>
          <w:b/>
          <w:color w:val="000000"/>
          <w:sz w:val="20"/>
        </w:rPr>
      </w:pPr>
      <w:r>
        <w:rPr>
          <w:rFonts w:ascii="Helvetica;sans-serif" w:hAnsi="Helvetica;sans-serif"/>
          <w:b/>
          <w:color w:val="000000"/>
          <w:sz w:val="20"/>
        </w:rPr>
        <w:t>For the quarterly period ended June 30, 2026</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0" w:after="120"/>
        <w:jc w:val="center"/>
        <w:rPr>
          <w:color w:val="000000"/>
        </w:rPr>
      </w:pPr>
      <w:r>
        <w:rPr>
          <w:color w:val="000000"/>
        </w:rPr>
        <w:t>☐     </w:t>
      </w:r>
      <w:r>
        <w:rPr>
          <w:rFonts w:ascii="Helvetica;sans-serif" w:hAnsi="Helvetica;sans-serif"/>
          <w:b/>
          <w:color w:val="000000"/>
          <w:sz w:val="20"/>
        </w:rPr>
        <w:t xml:space="preserve">TRANSITION REPORT PURSUANT TO SECTION 13 OR 15(d) OF THE SECURITIES EXCHANGE ACT OF 1934 </w:t>
      </w:r>
    </w:p>
    <w:p>
      <w:pPr>
        <w:pStyle w:val="TextBody"/>
        <w:bidi w:val="0"/>
        <w:spacing w:lineRule="auto" w:line="288" w:before="0" w:after="120"/>
        <w:jc w:val="center"/>
        <w:rPr>
          <w:rFonts w:ascii="Helvetica;sans-serif" w:hAnsi="Helvetica;sans-serif"/>
          <w:b/>
          <w:color w:val="000000"/>
          <w:sz w:val="20"/>
        </w:rPr>
      </w:pPr>
      <w:r>
        <w:rPr>
          <w:rFonts w:ascii="Helvetica;sans-serif" w:hAnsi="Helvetica;sans-serif"/>
          <w:b/>
          <w:color w:val="000000"/>
          <w:sz w:val="20"/>
        </w:rPr>
        <w:t>For the transition period from _______ to _______</w:t>
      </w:r>
    </w:p>
    <w:p>
      <w:pPr>
        <w:pStyle w:val="TextBody"/>
        <w:bidi w:val="0"/>
        <w:spacing w:lineRule="auto" w:line="288" w:before="0" w:after="120"/>
        <w:jc w:val="center"/>
        <w:rPr>
          <w:rFonts w:ascii="Helvetica;sans-serif" w:hAnsi="Helvetica;sans-serif"/>
          <w:b/>
          <w:color w:val="000000"/>
          <w:sz w:val="20"/>
        </w:rPr>
      </w:pPr>
      <w:r>
        <w:rPr>
          <w:rFonts w:ascii="Helvetica;sans-serif" w:hAnsi="Helvetica;sans-serif"/>
          <w:b/>
          <w:color w:val="000000"/>
          <w:sz w:val="20"/>
        </w:rPr>
        <w:t>Commission File Number 001-41565</w:t>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Leonardo DRS, Inc.</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(Exact name of registrant as specified in its charter)</w:t>
      </w:r>
    </w:p>
    <w:p>
      <w:pPr>
        <w:pStyle w:val="TextBody"/>
        <w:bidi w:val="0"/>
        <w:spacing w:before="0" w:after="0"/>
        <w:jc w:val="left"/>
        <w:rPr/>
      </w:pPr>
      <w:r>
        <w:rPr/>
      </w:r>
    </w:p>
    <w:tbl>
      <w:tblPr>
        <w:tblW w:w="4304" w:type="dxa"/>
        <w:jc w:val="center"/>
        <w:tblInd w:w="0" w:type="dxa"/>
        <w:tblLayout w:type="fixed"/>
        <w:tblCellMar>
          <w:top w:w="28" w:type="dxa"/>
          <w:left w:w="28" w:type="dxa"/>
          <w:bottom w:w="28" w:type="dxa"/>
          <w:right w:w="28" w:type="dxa"/>
        </w:tblCellMar>
      </w:tblPr>
      <w:tblGrid>
        <w:gridCol w:w="986"/>
        <w:gridCol w:w="868"/>
        <w:gridCol w:w="875"/>
        <w:gridCol w:w="459"/>
        <w:gridCol w:w="459"/>
        <w:gridCol w:w="657"/>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Delaware</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13-2632319</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(State or other jurisdiction</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of incorporation or organization)</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(I.R.S. Employer</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Identification No.)</w:t>
            </w:r>
          </w:p>
        </w:tc>
      </w:tr>
    </w:tbl>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2345 Crystal Drive</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Suite 1000</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Arlington, Virginia 22202</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(703) 416-8000</w:t>
      </w:r>
    </w:p>
    <w:p>
      <w:pPr>
        <w:pStyle w:val="TextBody"/>
        <w:bidi w:val="0"/>
        <w:spacing w:lineRule="auto" w:line="288" w:before="0" w:after="120"/>
        <w:jc w:val="center"/>
        <w:rPr>
          <w:rFonts w:ascii="Helvetica;sans-serif" w:hAnsi="Helvetica;sans-serif"/>
          <w:b/>
          <w:color w:val="000000"/>
          <w:sz w:val="18"/>
        </w:rPr>
      </w:pPr>
      <w:r>
        <w:rPr>
          <w:rFonts w:ascii="Helvetica;sans-serif" w:hAnsi="Helvetica;sans-serif"/>
          <w:b/>
          <w:color w:val="000000"/>
          <w:sz w:val="18"/>
        </w:rPr>
        <w:t>(Address of principal executive offices, including zip code, and registrant’s telephone number, including area code)</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Securities registered pursuant to Section 12(b) of the Act:</w:t>
      </w:r>
    </w:p>
    <w:tbl>
      <w:tblPr>
        <w:tblW w:w="8592" w:type="dxa"/>
        <w:jc w:val="left"/>
        <w:tblInd w:w="0" w:type="dxa"/>
        <w:tblLayout w:type="fixed"/>
        <w:tblCellMar>
          <w:top w:w="28" w:type="dxa"/>
          <w:left w:w="28" w:type="dxa"/>
          <w:bottom w:w="28" w:type="dxa"/>
          <w:right w:w="28" w:type="dxa"/>
        </w:tblCellMar>
      </w:tblPr>
      <w:tblGrid>
        <w:gridCol w:w="1048"/>
        <w:gridCol w:w="918"/>
        <w:gridCol w:w="928"/>
        <w:gridCol w:w="564"/>
        <w:gridCol w:w="564"/>
        <w:gridCol w:w="566"/>
        <w:gridCol w:w="1170"/>
        <w:gridCol w:w="1170"/>
        <w:gridCol w:w="1664"/>
      </w:tblGrid>
      <w:tr>
        <w:trPr/>
        <w:tc>
          <w:tcPr>
            <w:tcW w:w="10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u w:val="single"/>
              </w:rPr>
            </w:pPr>
            <w:r>
              <w:rPr>
                <w:rFonts w:ascii="Helvetica;sans-serif" w:hAnsi="Helvetica;sans-serif"/>
                <w:b w:val="false"/>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u w:val="single"/>
              </w:rPr>
            </w:pPr>
            <w:r>
              <w:rPr>
                <w:rFonts w:ascii="Helvetica;sans-serif" w:hAnsi="Helvetica;sans-serif"/>
                <w:b w:val="false"/>
                <w:color w:val="000000"/>
                <w:sz w:val="20"/>
                <w:u w:val="single"/>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u w:val="single"/>
              </w:rPr>
            </w:pPr>
            <w:r>
              <w:rPr>
                <w:rFonts w:ascii="Helvetica;sans-serif" w:hAnsi="Helvetica;sans-serif"/>
                <w:b w:val="false"/>
                <w:color w:val="000000"/>
                <w:sz w:val="20"/>
                <w:u w:val="single"/>
              </w:rPr>
              <w:t>Name of each exchange on which registered</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DRS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The Nasdaq Stock Market LLC</w:t>
            </w:r>
          </w:p>
        </w:tc>
      </w:tr>
    </w:tbl>
    <w:p>
      <w:pPr>
        <w:pStyle w:val="TextBody"/>
        <w:bidi w:val="0"/>
        <w:spacing w:lineRule="auto" w:line="288" w:before="0" w:after="120"/>
        <w:ind w:left="0" w:right="0" w:firstLine="360"/>
        <w:jc w:val="left"/>
        <w:rPr>
          <w:rFonts w:ascii="Helvetica;sans-serif" w:hAnsi="Helvetica;sans-serif"/>
          <w:b w:val="false"/>
          <w:color w:val="000000"/>
          <w:sz w:val="18"/>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Helvetica;sans-serif" w:hAnsi="Helvetica;sans-serif"/>
          <w:b w:val="false"/>
          <w:color w:val="000000"/>
          <w:sz w:val="18"/>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left"/>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Helvetica;sans-serif" w:hAnsi="Helvetica;sans-serif"/>
          <w:b w:val="false"/>
          <w:color w:val="000000"/>
          <w:sz w:val="18"/>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120"/>
        <w:jc w:val="left"/>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shell company (as defined in Rule 12b-2 of the Exchange Act). Yes ☐ No ☒</w:t>
      </w:r>
    </w:p>
    <w:p>
      <w:pPr>
        <w:pStyle w:val="TextBody"/>
        <w:bidi w:val="0"/>
        <w:spacing w:lineRule="auto" w:line="288" w:before="0" w:after="120"/>
        <w:jc w:val="left"/>
        <w:rPr>
          <w:rFonts w:ascii="Helvetica;sans-serif" w:hAnsi="Helvetica;sans-serif"/>
          <w:b w:val="false"/>
          <w:color w:val="000000"/>
          <w:sz w:val="18"/>
        </w:rPr>
      </w:pPr>
      <w:r>
        <w:rPr>
          <w:rFonts w:ascii="Helvetica;sans-serif" w:hAnsi="Helvetica;sans-serif"/>
          <w:b w:val="false"/>
          <w:color w:val="000000"/>
          <w:sz w:val="18"/>
        </w:rPr>
        <w:t>As of July 29, 2026, there were 266,891,515 shares of the registrant’s common stock, par value of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9165" w:type="dxa"/>
        <w:jc w:val="left"/>
        <w:tblInd w:w="0" w:type="dxa"/>
        <w:tblLayout w:type="fixed"/>
        <w:tblCellMar>
          <w:top w:w="28" w:type="dxa"/>
          <w:left w:w="28" w:type="dxa"/>
          <w:bottom w:w="28" w:type="dxa"/>
          <w:right w:w="28" w:type="dxa"/>
        </w:tblCellMar>
      </w:tblPr>
      <w:tblGrid>
        <w:gridCol w:w="3123"/>
        <w:gridCol w:w="2747"/>
        <w:gridCol w:w="2754"/>
        <w:gridCol w:w="158"/>
        <w:gridCol w:w="158"/>
        <w:gridCol w:w="225"/>
      </w:tblGrid>
      <w:tr>
        <w:trPr/>
        <w:tc>
          <w:tcPr>
            <w:tcW w:w="3123"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3">
              <w:r>
                <w:rPr>
                  <w:rStyle w:val="InternetLink"/>
                  <w:rFonts w:ascii="Helvetica;sans-serif" w:hAnsi="Helvetica;sans-serif"/>
                  <w:b w:val="false"/>
                  <w:color w:val="0000FF"/>
                  <w:sz w:val="20"/>
                  <w:u w:val="single"/>
                </w:rPr>
                <w:t>PART I. 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2790b0fd44916a6012747295dfb18_13">
              <w:r>
                <w:rPr>
                  <w:rStyle w:val="InternetLink"/>
                  <w:rFonts w:ascii="Helvetica;sans-serif" w:hAnsi="Helvetica;sans-serif"/>
                  <w:b w:val="false"/>
                  <w:color w:val="0000FF"/>
                  <w:sz w:val="20"/>
                  <w:u w:val="single"/>
                </w:rPr>
                <w:t>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6">
              <w:r>
                <w:rPr>
                  <w:rStyle w:val="InternetLink"/>
                  <w:rFonts w:ascii="Helvetica;sans-serif" w:hAnsi="Helvetica;sans-serif"/>
                  <w:b w:val="false"/>
                  <w:color w:val="0000FF"/>
                  <w:sz w:val="20"/>
                  <w:u w:val="single"/>
                </w:rPr>
                <w:t>ITEM 1.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6">
              <w:r>
                <w:rPr>
                  <w:rStyle w:val="InternetLink"/>
                  <w:rFonts w:ascii="Helvetica;sans-serif" w:hAnsi="Helvetica;sans-serif"/>
                  <w:b w:val="false"/>
                  <w:color w:val="0000FF"/>
                  <w:sz w:val="20"/>
                  <w:u w:val="single"/>
                </w:rPr>
                <w:t>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9">
              <w:r>
                <w:rPr>
                  <w:rStyle w:val="InternetLink"/>
                  <w:rFonts w:ascii="Helvetica;sans-serif" w:hAnsi="Helvetica;sans-serif"/>
                  <w:b w:val="false"/>
                  <w:color w:val="0000FF"/>
                  <w:sz w:val="20"/>
                  <w:u w:val="single"/>
                </w:rPr>
                <w:t xml:space="preserve">Consolidated Statements of Earnings </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9">
              <w:r>
                <w:rPr>
                  <w:rStyle w:val="InternetLink"/>
                  <w:rFonts w:ascii="Helvetica;sans-serif" w:hAnsi="Helvetica;sans-serif"/>
                  <w:b w:val="false"/>
                  <w:color w:val="0000FF"/>
                  <w:sz w:val="20"/>
                  <w:u w:val="single"/>
                </w:rPr>
                <w:t>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22">
              <w:r>
                <w:rPr>
                  <w:rStyle w:val="InternetLink"/>
                  <w:rFonts w:ascii="Helvetica;sans-serif" w:hAnsi="Helvetica;sans-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22">
              <w:r>
                <w:rPr>
                  <w:rStyle w:val="InternetLink"/>
                  <w:rFonts w:ascii="Helvetica;sans-serif" w:hAnsi="Helvetica;sans-serif"/>
                  <w:b w:val="false"/>
                  <w:color w:val="0000FF"/>
                  <w:sz w:val="20"/>
                  <w:u w:val="single"/>
                </w:rPr>
                <w:t>2</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25">
              <w:r>
                <w:rPr>
                  <w:rStyle w:val="InternetLink"/>
                  <w:rFonts w:ascii="Helvetica;sans-serif" w:hAnsi="Helvetica;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25">
              <w:r>
                <w:rPr>
                  <w:rStyle w:val="InternetLink"/>
                  <w:rFonts w:ascii="Helvetica;sans-serif" w:hAnsi="Helvetica;sans-serif"/>
                  <w:b w:val="false"/>
                  <w:color w:val="0000FF"/>
                  <w:sz w:val="20"/>
                  <w:u w:val="single"/>
                </w:rPr>
                <w:t>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28">
              <w:r>
                <w:rPr>
                  <w:rStyle w:val="InternetLink"/>
                  <w:rFonts w:ascii="Helvetica;sans-serif" w:hAnsi="Helvetica;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28">
              <w:r>
                <w:rPr>
                  <w:rStyle w:val="InternetLink"/>
                  <w:rFonts w:ascii="Helvetica;sans-serif" w:hAnsi="Helvetica;sans-serif"/>
                  <w:b w:val="false"/>
                  <w:color w:val="0000FF"/>
                  <w:sz w:val="20"/>
                  <w:u w:val="single"/>
                </w:rPr>
                <w:t>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31">
              <w:r>
                <w:rPr>
                  <w:rStyle w:val="InternetLink"/>
                  <w:rFonts w:ascii="Helvetica;sans-serif" w:hAnsi="Helvetica;sans-serif"/>
                  <w:b w:val="false"/>
                  <w:color w:val="0000FF"/>
                  <w:sz w:val="20"/>
                  <w:u w:val="single"/>
                </w:rPr>
                <w:t>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31">
              <w:r>
                <w:rPr>
                  <w:rStyle w:val="InternetLink"/>
                  <w:rFonts w:ascii="Helvetica;sans-serif" w:hAnsi="Helvetica;sans-serif"/>
                  <w:b w:val="false"/>
                  <w:color w:val="0000FF"/>
                  <w:sz w:val="20"/>
                  <w:u w:val="single"/>
                </w:rPr>
                <w:t>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34">
              <w:r>
                <w:rPr>
                  <w:rStyle w:val="InternetLink"/>
                  <w:rFonts w:ascii="Helvetica;sans-serif" w:hAnsi="Helvetica;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34">
              <w:r>
                <w:rPr>
                  <w:rStyle w:val="InternetLink"/>
                  <w:rFonts w:ascii="Helvetica;sans-serif" w:hAnsi="Helvetica;sans-serif"/>
                  <w:b w:val="false"/>
                  <w:color w:val="0000FF"/>
                  <w:sz w:val="20"/>
                  <w:u w:val="single"/>
                </w:rPr>
                <w:t>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412790b0fd44916a6012747295dfb18_97">
              <w:r>
                <w:rPr>
                  <w:rStyle w:val="InternetLink"/>
                  <w:rFonts w:ascii="Helvetica;sans-serif" w:hAnsi="Helvetica;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97">
              <w:r>
                <w:rPr>
                  <w:rStyle w:val="InternetLink"/>
                  <w:rFonts w:ascii="Helvetica;sans-serif" w:hAnsi="Helvetica;sans-serif"/>
                  <w:b w:val="false"/>
                  <w:color w:val="0000FF"/>
                  <w:sz w:val="20"/>
                  <w:u w:val="single"/>
                </w:rPr>
                <w:t>19</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21">
              <w:r>
                <w:rPr>
                  <w:rStyle w:val="InternetLink"/>
                  <w:rFonts w:ascii="Helvetica;sans-serif" w:hAnsi="Helvetica;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21">
              <w:r>
                <w:rPr>
                  <w:rStyle w:val="InternetLink"/>
                  <w:rFonts w:ascii="Helvetica;sans-serif" w:hAnsi="Helvetica;sans-serif"/>
                  <w:b w:val="false"/>
                  <w:color w:val="0000FF"/>
                  <w:sz w:val="20"/>
                  <w:u w:val="singl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24">
              <w:r>
                <w:rPr>
                  <w:rStyle w:val="InternetLink"/>
                  <w:rFonts w:ascii="Helvetica;sans-serif" w:hAnsi="Helvetica;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24">
              <w:r>
                <w:rPr>
                  <w:rStyle w:val="InternetLink"/>
                  <w:rFonts w:ascii="Helvetica;sans-serif" w:hAnsi="Helvetica;sans-serif"/>
                  <w:b w:val="false"/>
                  <w:color w:val="0000FF"/>
                  <w:sz w:val="20"/>
                  <w:u w:val="singl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27">
              <w:r>
                <w:rPr>
                  <w:rStyle w:val="InternetLink"/>
                  <w:rFonts w:ascii="Helvetica;sans-serif" w:hAnsi="Helvetica;sans-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27">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30">
              <w:r>
                <w:rPr>
                  <w:rStyle w:val="InternetLink"/>
                  <w:rFonts w:ascii="Helvetica;sans-serif" w:hAnsi="Helvetica;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30">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33">
              <w:r>
                <w:rPr>
                  <w:rStyle w:val="InternetLink"/>
                  <w:rFonts w:ascii="Helvetica;sans-serif" w:hAnsi="Helvetica;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33">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36">
              <w:r>
                <w:rPr>
                  <w:rStyle w:val="InternetLink"/>
                  <w:rFonts w:ascii="Helvetica;sans-serif" w:hAnsi="Helvetica;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36">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39">
              <w:r>
                <w:rPr>
                  <w:rStyle w:val="InternetLink"/>
                  <w:rFonts w:ascii="Helvetica;sans-serif" w:hAnsi="Helvetica;sans-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39">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42">
              <w:r>
                <w:rPr>
                  <w:rStyle w:val="InternetLink"/>
                  <w:rFonts w:ascii="Helvetica;sans-serif" w:hAnsi="Helvetica;sans-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42">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45">
              <w:r>
                <w:rPr>
                  <w:rStyle w:val="InternetLink"/>
                  <w:rFonts w:ascii="Helvetica;sans-serif" w:hAnsi="Helvetica;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45">
              <w:r>
                <w:rPr>
                  <w:rStyle w:val="InternetLink"/>
                  <w:rFonts w:ascii="Helvetica;sans-serif" w:hAnsi="Helvetica;sans-serif"/>
                  <w:b w:val="false"/>
                  <w:color w:val="0000FF"/>
                  <w:sz w:val="20"/>
                  <w:u w:val="singl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51">
              <w:r>
                <w:rPr>
                  <w:rStyle w:val="InternetLink"/>
                  <w:rFonts w:ascii="Helvetica;sans-serif" w:hAnsi="Helvetica;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51">
              <w:r>
                <w:rPr>
                  <w:rStyle w:val="InternetLink"/>
                  <w:rFonts w:ascii="Helvetica;sans-serif" w:hAnsi="Helvetica;sans-serif"/>
                  <w:b w:val="false"/>
                  <w:color w:val="0000FF"/>
                  <w:sz w:val="20"/>
                  <w:u w:val="single"/>
                </w:rPr>
                <w:t>37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12790b0fd44916a6012747295dfb18_154">
              <w:r>
                <w:rPr>
                  <w:rStyle w:val="InternetLink"/>
                  <w:rFonts w:ascii="Helvetica;sans-serif" w:hAnsi="Helvetica;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12790b0fd44916a6012747295dfb18_154">
              <w:r>
                <w:rPr>
                  <w:rStyle w:val="InternetLink"/>
                  <w:rFonts w:ascii="Helvetica;sans-serif" w:hAnsi="Helvetica;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SPECIAL NOTE REGARDING FORWARD-LOOKING STATEMENTS AND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this quarterly report on Form 10-Q (this “Quarterly Report”), when using the terms the “Company,” “DRS,” “we,” “us” and “our,” unless otherwise indicated or the context otherwise requires, we are referring to Leonardo DRS, Inc. This Quarterly Report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Quarterly Report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Quarterly Report. In addition, even if future performance and outcomes are consistent with the forward-looking statements contained in this Quarterly Report,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Disruptions, including from government shutdowns,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Significant delays, including from government shutdowns, or reductions in appropriations for our programs and changes in U.S. government priorities and spending levels more broadly;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failure to comply with the amended and restated proxy agreement with the U.S. Department of War, also known as the U.S. Department of Defense (the “DoW”);</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effect of inflation and other cost pressures on our supply chain and/or our labor costs;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mix of fixed-price, cost-plus and time-and-materials type contracts and any resulting impact on our cash flows due to cost overruns;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Failure to properly comply with various covenants of the agreements governing our debt could negatively impact our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dependence on U.S. government contracts, which often are only partially funded and are subject to immediate termination, some of which are classified, and the concentration of our customer base in the U.S. defense industry;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use of estimates in pricing and accounting for many of our programs that are inherently uncertain and which may not prove to be accurate;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realize the full value of our backlog;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predict future capital needs or to obtain additional financing if needed, on terms acceptable to us,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respond to the rapid technological changes in the markets in which we compete;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effect of global and regional economic downturns and rising interest rates;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maintain an effective system of internal control over financial reporting;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inability to appropriately manage our inventory;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inability to fully realize the value of our total estimated contract value or bookings;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compete efficiently, including due to U.S. government organizational conflict of interest rules which may limit new contract opportunities or require us to wind down existing contracts;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relationships with other industry participants, including any contractual disputes or the inability of our key suppliers to timely deliver our components, parts or services;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Preferences for set-asides for small or small disadvantaged businesses could impact our ability to be a prime contractor;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failure to meet our contractual obligations including due to potential impacts to our business from supply chain risks, such as longer lead times and shortages of electronics and other components;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security breach, including any cyber-attack, cyber intrusion, insider threat, or other significant disruption of our IT networks and related systems, as well as any act of terrorism or other threat to our physical security and personnel;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conduct of our employees, agents, affiliates, subcontractors, suppliers, business partners or joint ventures in which we participate which may impact our reputation and ability to do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outcome of litigation, arbitration, investigations, claims, disputes, enforcement actions and other legal proceedings in which we are involved;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Various geopolitical and economic factors, laws and regulations including the Foreign Corrupt Practices Act, the Export Control Act, the International Traffic in Arms Regulations, the Export Administration Regulations, recent U.S. tariffs imposed or threatened to be imposed on other countries and any related retaliatory actions taken by such countries and those that we are exposed to as a result of our international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obtain export licenses necessary to conduct certain operations abroad, including any attempts by Congress to prevent proposed sales to certain foreign governments;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ability to attract and retain technical and other key personnel;</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occurrence of prolonged work stoppages;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unavailability or inadequacy of our insurance coverage, customer indemnifications or other liability protections to cover all of our significant risks or to pay for material losses we incur;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Future changes in U.S. tax laws and regulations or interpretations thereof;</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Future changes in the DoW’s and other governments’ budgets;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Certain limitations on our ability to use our net operating losses to offset future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Termination of our leases or our inability to renew our leases on acceptable terms;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estimates used in accounting for our pension plans, including with respect to the funding status thereof;</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Changes in future business or other market conditions that could cause business investments and/or recorded goodwill or other long-term assets to become impaired;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proposed acquisition of Raft LLC, including the failure to complete the transaction on the anticipated timeline or at all, the failure to realize the anticipated benefits of the transaction, including expected accretion and tax benefits, integration difficulties, retention of key personnel, transaction and integration costs, and increased indebtedness incurred to fund the transaction;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Adverse consequences from any acquisitions such as operating difficulties, dilution and other harmful consequences or any modification, delay or prevention of any future acquisition or investment activity by the Committee on Foreign Investment in the United States;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Natural disasters, severe weather or other significant disruptions;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Failure to properly contain a global pandemic in a timely manner could materially affect how we and our business partners operate;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compliance with environmental laws and regulations, and any environmental liabilities that may affect our reputation or financial position;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conflict of interest that may arise because Leonardo US Holding, LLC, our majority stockholder, or Leonardo S.p.A., our indirect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third amended and restated certificate of incorporation provides that we waive any interest or expectancy in corporate opportunities presented to Leonardo S.p.A);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Our obligations to provide certain services to Leonardo S.p.A., which may divert human and financial resources from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You should read this Quarterly Report completely and with the understanding that actual future results may be materially different from expectations. All forward-looking statements made in this Quarterly Report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Other risks, uncertainties and factors, including those discussed under </w:t>
      </w:r>
      <w:r>
        <w:rPr>
          <w:color w:val="000000"/>
        </w:rPr>
        <w:t>“</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in Part I, Item 1A of our Annual Report on Form 10-K for the year ended December 31, 2025, 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Earnings (Unaudited)</w:t>
      </w:r>
    </w:p>
    <w:tbl>
      <w:tblPr>
        <w:tblW w:w="9300" w:type="dxa"/>
        <w:jc w:val="left"/>
        <w:tblInd w:w="0" w:type="dxa"/>
        <w:tblLayout w:type="fixed"/>
        <w:tblCellMar>
          <w:top w:w="28" w:type="dxa"/>
          <w:left w:w="28" w:type="dxa"/>
          <w:bottom w:w="28" w:type="dxa"/>
          <w:right w:w="28" w:type="dxa"/>
        </w:tblCellMar>
      </w:tblPr>
      <w:tblGrid>
        <w:gridCol w:w="1527"/>
        <w:gridCol w:w="1341"/>
        <w:gridCol w:w="1347"/>
        <w:gridCol w:w="253"/>
        <w:gridCol w:w="649"/>
        <w:gridCol w:w="130"/>
        <w:gridCol w:w="130"/>
        <w:gridCol w:w="130"/>
        <w:gridCol w:w="130"/>
        <w:gridCol w:w="253"/>
        <w:gridCol w:w="649"/>
        <w:gridCol w:w="130"/>
        <w:gridCol w:w="109"/>
        <w:gridCol w:w="109"/>
        <w:gridCol w:w="109"/>
        <w:gridCol w:w="211"/>
        <w:gridCol w:w="646"/>
        <w:gridCol w:w="109"/>
        <w:gridCol w:w="109"/>
        <w:gridCol w:w="109"/>
        <w:gridCol w:w="109"/>
        <w:gridCol w:w="211"/>
        <w:gridCol w:w="64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Gross profit</w:t>
            </w:r>
            <w:r>
              <w:rPr>
                <w:color w:val="000000"/>
              </w:rPr>
              <w:t xml:space="preserve">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Operating earnings </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Earnings before taxes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Net earnings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Net earnings per share from common stock:</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2403"/>
        <w:gridCol w:w="1391"/>
        <w:gridCol w:w="1397"/>
        <w:gridCol w:w="296"/>
        <w:gridCol w:w="528"/>
        <w:gridCol w:w="153"/>
        <w:gridCol w:w="153"/>
        <w:gridCol w:w="153"/>
        <w:gridCol w:w="153"/>
        <w:gridCol w:w="296"/>
        <w:gridCol w:w="528"/>
        <w:gridCol w:w="153"/>
        <w:gridCol w:w="109"/>
        <w:gridCol w:w="109"/>
        <w:gridCol w:w="109"/>
        <w:gridCol w:w="242"/>
        <w:gridCol w:w="554"/>
        <w:gridCol w:w="124"/>
        <w:gridCol w:w="124"/>
        <w:gridCol w:w="124"/>
        <w:gridCol w:w="124"/>
        <w:gridCol w:w="242"/>
        <w:gridCol w:w="554"/>
        <w:gridCol w:w="186"/>
      </w:tblGrid>
      <w:tr>
        <w:trPr/>
        <w:tc>
          <w:tcPr>
            <w:tcW w:w="240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5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Net earnings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Other comprehensive (loss) income, net of income taxes:</w:t>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unrealized (loss) gain on derivative instruments</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color w:val="000000"/>
                <w:sz w:val="20"/>
              </w:rPr>
            </w:pPr>
            <w:r>
              <w:rPr>
                <w:rFonts w:ascii="Helvetica;sans-serif" w:hAnsi="Helvetica;sans-serif"/>
                <w:b/>
                <w:color w:val="000000"/>
                <w:sz w:val="20"/>
              </w:rPr>
              <w:t>Other comprehensive (loss) income, net of income taxes</w:t>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comprehensive income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109"/>
        <w:gridCol w:w="2231"/>
        <w:gridCol w:w="2218"/>
        <w:gridCol w:w="231"/>
        <w:gridCol w:w="710"/>
        <w:gridCol w:w="120"/>
        <w:gridCol w:w="109"/>
        <w:gridCol w:w="109"/>
        <w:gridCol w:w="109"/>
        <w:gridCol w:w="261"/>
        <w:gridCol w:w="802"/>
        <w:gridCol w:w="196"/>
      </w:tblGrid>
      <w:tr>
        <w:trPr/>
        <w:tc>
          <w:tcPr>
            <w:tcW w:w="310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assets:</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assets:</w:t>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Property, plant and equipment,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assets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assets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LIABILITIES AND STOCKHOLDERS' EQUITY</w:t>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liabilities:</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 and current portion of long-term debt</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liabilities:</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Long-term debt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other postretirement benefit plan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liabilities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12)</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Stockholders' equity:</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Preferred stock, $0.01 par value: 10,000,000 shares authorized; none issued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$0.01 par value: 350,000,000 shares authorized; 266,832,196 and 265,822,404 shares issued and outstanding as of June 30, 2026 and December 31, 2025, respectively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stockholders' equity </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2,803 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2,730 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liabilities and stockholders' equity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Cash Flows (Unaudited)</w:t>
      </w:r>
    </w:p>
    <w:tbl>
      <w:tblPr>
        <w:tblW w:w="9176" w:type="dxa"/>
        <w:jc w:val="left"/>
        <w:tblInd w:w="0" w:type="dxa"/>
        <w:tblLayout w:type="fixed"/>
        <w:tblCellMar>
          <w:top w:w="28" w:type="dxa"/>
          <w:left w:w="28" w:type="dxa"/>
          <w:bottom w:w="28" w:type="dxa"/>
          <w:right w:w="28" w:type="dxa"/>
        </w:tblCellMar>
      </w:tblPr>
      <w:tblGrid>
        <w:gridCol w:w="2490"/>
        <w:gridCol w:w="2192"/>
        <w:gridCol w:w="2203"/>
        <w:gridCol w:w="245"/>
        <w:gridCol w:w="559"/>
        <w:gridCol w:w="126"/>
        <w:gridCol w:w="126"/>
        <w:gridCol w:w="126"/>
        <w:gridCol w:w="126"/>
        <w:gridCol w:w="245"/>
        <w:gridCol w:w="559"/>
        <w:gridCol w:w="179"/>
      </w:tblGrid>
      <w:tr>
        <w:trPr/>
        <w:tc>
          <w:tcPr>
            <w:tcW w:w="249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6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Operating activities</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Net earnings </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earnings to net cash used in operating activities: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income taxes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Changes in assets and liabilities: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Defined benefit obligations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Investing activities</w:t>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Capital expenditures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Proceeds from sales of assets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Financing activities</w:t>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decrease in borrowings (maturities of 90 days or less)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Repayments of borrowings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Proceeds from stock issuance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Payments of employee taxes withheld from stock-based awards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Dividends paid</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Dividends paid to related party</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w:t>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decrease in cash and cash equivalents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at beginning of year</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 at 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Stockholders’ Equity (Unaudited)</w:t>
      </w:r>
    </w:p>
    <w:tbl>
      <w:tblPr>
        <w:tblW w:w="10205" w:type="dxa"/>
        <w:jc w:val="left"/>
        <w:tblInd w:w="0" w:type="dxa"/>
        <w:tblLayout w:type="fixed"/>
        <w:tblCellMar>
          <w:top w:w="28" w:type="dxa"/>
          <w:left w:w="28" w:type="dxa"/>
          <w:bottom w:w="28" w:type="dxa"/>
          <w:right w:w="28" w:type="dxa"/>
        </w:tblCellMar>
      </w:tblPr>
      <w:tblGrid>
        <w:gridCol w:w="989"/>
        <w:gridCol w:w="350"/>
        <w:gridCol w:w="351"/>
        <w:gridCol w:w="331"/>
        <w:gridCol w:w="331"/>
        <w:gridCol w:w="332"/>
        <w:gridCol w:w="109"/>
        <w:gridCol w:w="109"/>
        <w:gridCol w:w="109"/>
        <w:gridCol w:w="324"/>
        <w:gridCol w:w="416"/>
        <w:gridCol w:w="168"/>
        <w:gridCol w:w="109"/>
        <w:gridCol w:w="109"/>
        <w:gridCol w:w="109"/>
        <w:gridCol w:w="246"/>
        <w:gridCol w:w="755"/>
        <w:gridCol w:w="127"/>
        <w:gridCol w:w="109"/>
        <w:gridCol w:w="109"/>
        <w:gridCol w:w="109"/>
        <w:gridCol w:w="484"/>
        <w:gridCol w:w="863"/>
        <w:gridCol w:w="251"/>
        <w:gridCol w:w="109"/>
        <w:gridCol w:w="109"/>
        <w:gridCol w:w="109"/>
        <w:gridCol w:w="268"/>
        <w:gridCol w:w="825"/>
        <w:gridCol w:w="139"/>
        <w:gridCol w:w="109"/>
        <w:gridCol w:w="109"/>
        <w:gridCol w:w="109"/>
        <w:gridCol w:w="211"/>
        <w:gridCol w:w="646"/>
        <w:gridCol w:w="163"/>
      </w:tblGrid>
      <w:tr>
        <w:trPr/>
        <w:tc>
          <w:tcPr>
            <w:tcW w:w="98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amounts)</w:t>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March 31, 2025</w:t>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(2,543)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2,571 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dividends of $0.09 per share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June 30, 2025</w:t>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(2,489)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March 31, 2026</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(2,253)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dividends of $0.09 per share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June 30, 2026</w:t>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Stockholders’ Equity (Unaudited)</w:t>
      </w:r>
    </w:p>
    <w:tbl>
      <w:tblPr>
        <w:tblW w:w="10205" w:type="dxa"/>
        <w:jc w:val="left"/>
        <w:tblInd w:w="0" w:type="dxa"/>
        <w:tblLayout w:type="fixed"/>
        <w:tblCellMar>
          <w:top w:w="28" w:type="dxa"/>
          <w:left w:w="28" w:type="dxa"/>
          <w:bottom w:w="28" w:type="dxa"/>
          <w:right w:w="28" w:type="dxa"/>
        </w:tblCellMar>
      </w:tblPr>
      <w:tblGrid>
        <w:gridCol w:w="989"/>
        <w:gridCol w:w="350"/>
        <w:gridCol w:w="351"/>
        <w:gridCol w:w="331"/>
        <w:gridCol w:w="331"/>
        <w:gridCol w:w="332"/>
        <w:gridCol w:w="109"/>
        <w:gridCol w:w="109"/>
        <w:gridCol w:w="109"/>
        <w:gridCol w:w="324"/>
        <w:gridCol w:w="416"/>
        <w:gridCol w:w="168"/>
        <w:gridCol w:w="109"/>
        <w:gridCol w:w="109"/>
        <w:gridCol w:w="109"/>
        <w:gridCol w:w="246"/>
        <w:gridCol w:w="755"/>
        <w:gridCol w:w="127"/>
        <w:gridCol w:w="109"/>
        <w:gridCol w:w="109"/>
        <w:gridCol w:w="109"/>
        <w:gridCol w:w="484"/>
        <w:gridCol w:w="863"/>
        <w:gridCol w:w="251"/>
        <w:gridCol w:w="109"/>
        <w:gridCol w:w="109"/>
        <w:gridCol w:w="109"/>
        <w:gridCol w:w="268"/>
        <w:gridCol w:w="825"/>
        <w:gridCol w:w="139"/>
        <w:gridCol w:w="109"/>
        <w:gridCol w:w="109"/>
        <w:gridCol w:w="109"/>
        <w:gridCol w:w="211"/>
        <w:gridCol w:w="646"/>
        <w:gridCol w:w="163"/>
      </w:tblGrid>
      <w:tr>
        <w:trPr/>
        <w:tc>
          <w:tcPr>
            <w:tcW w:w="98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amounts)</w:t>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2024</w:t>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dividends of $0.18 per share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June 30, 2025</w:t>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(2,489)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2025</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2,730 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dividends of $0.18 per share</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June 30, 2026</w:t>
            </w:r>
          </w:p>
        </w:tc>
        <w:tc>
          <w:tcPr>
            <w:tcW w:w="9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(2,167)</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2,803 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w:t>
      </w:r>
      <w:r>
        <w:rPr>
          <w:color w:val="000000"/>
        </w:rPr>
        <w:t xml:space="preserve">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 Summary of Significant Accounting Policies</w:t>
      </w:r>
    </w:p>
    <w:p>
      <w:pPr>
        <w:pStyle w:val="TextBody"/>
        <w:bidi w:val="0"/>
        <w:spacing w:lineRule="auto" w:line="288" w:before="0" w:after="180"/>
        <w:jc w:val="left"/>
        <w:rPr/>
      </w:pPr>
      <w:r>
        <w:rPr>
          <w:rFonts w:ascii="Helvetica;sans-serif" w:hAnsi="Helvetica;sans-serif"/>
          <w:b/>
          <w:color w:val="000000"/>
          <w:sz w:val="20"/>
        </w:rPr>
        <w:t>A.</w:t>
      </w:r>
      <w:r>
        <w:rPr>
          <w:rFonts w:ascii="Helvetica;sans-serif" w:hAnsi="Helvetica;sans-serif"/>
          <w:b/>
          <w:color w:val="000000"/>
          <w:sz w:val="20"/>
        </w:rPr>
        <w:t>Organization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Leonardo DRS, Inc., together with its wholly owned subsidiaries (hereinafter, “DRS,” “the Company,” “us,” “our,” or “we”) is a supplier of defense electronics products, systems and military support services. The Company’s largest stockholder is Leonardo S.p.A, an Italian multi-national aerospace, defense and security company headquartered in Rome, Italy, through its ultimate sole ownership of Leonardo US Holding, LLC (“US Holding”). US Holding is the majority stockholder of the Company.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advanced sensing, network computing, force protection and electric power and propulsion.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capabilities directly align with our two reportable operating segments: Advanced Sensing and Computing (“ASC”) and Integrated Mission Systems (“IMS”). The U.S. government is our largest customer and accounts for approximately 82% and 80% of our total revenues as an end-user for the six months ended June 30, 2026 and 2025, respectively. Our U.S. government revenues are highly concentrated with the U.S. Department of War, also known as the U.S. Department of Defense (the “DoW”). Specific international and commercial market opportunities exist within these segments and comprise approximately 18% and 20% of our total revenues for the six months ended June 30, 2026 and 2025, respectively. Our two reportable segments reflect the way performance is assessed and resources are allocated by our Chief Executive Officer, who is our chief operating decision maker (“CODM”).</w:t>
      </w:r>
    </w:p>
    <w:p>
      <w:pPr>
        <w:pStyle w:val="TextBody"/>
        <w:bidi w:val="0"/>
        <w:spacing w:lineRule="auto" w:line="288" w:before="0" w:after="180"/>
        <w:jc w:val="left"/>
        <w:rPr/>
      </w:pPr>
      <w:r>
        <w:rPr>
          <w:rFonts w:ascii="Helvetica;sans-serif" w:hAnsi="Helvetica;sans-serif"/>
          <w:b/>
          <w:color w:val="000000"/>
          <w:sz w:val="20"/>
        </w:rPr>
        <w:t>B.</w:t>
      </w:r>
      <w:r>
        <w:rPr>
          <w:rFonts w:ascii="Helvetica;sans-serif" w:hAnsi="Helvetica;sans-serif"/>
          <w:b/>
          <w:color w:val="000000"/>
          <w:sz w:val="20"/>
        </w:rPr>
        <w:t>Basis of Presentation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accompanying unaudited Consolidated Financial Statements have been prepared in accordance with accounting principles generally accepted in the United States of America (“U.S. GAAP”) and include the accounts of DRS, its wholly owned subsidiaries and its controlling interests and contain all adjustments, which are of a normal and recurring nature, considered necessary by management to present fairly the financial position, results of operations and cash flows for the periods presented. Interests in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These estimates and assumptions include those relating to the recognition of contract revenues and estimated costs to complete contracts in process, recoverability of reported amounts of goodwill and intangible assets, valuation of acquired intangibles, accounting for business combinations, valuation of pensions and other postretirement benefits, the valuation of deferred tax assets and liabilities and the valuation of unrecognized tax benefits. Actual results could differ from these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unaudited Consolidated Financial Statements have been prepared pursuant to the rules and regulations of the Securities and Exchange Commission (“SEC”). These rules and regulations permit some of the information and footnote disclosures included in financial statements prepared in accordance with U.S. GAAP to be condensed or omitted.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These unaudited Consolidated Financial Statements should be read in conjunction with our audited Consolidated Financial Statements included in our Annual Report on Form 10-K for the year ended December 31, 2025. </w:t>
      </w:r>
    </w:p>
    <w:p>
      <w:pPr>
        <w:pStyle w:val="TextBody"/>
        <w:bidi w:val="0"/>
        <w:spacing w:lineRule="auto" w:line="288" w:before="0" w:after="180"/>
        <w:jc w:val="left"/>
        <w:rPr/>
      </w:pPr>
      <w:r>
        <w:rPr>
          <w:rFonts w:ascii="Helvetica;sans-serif" w:hAnsi="Helvetica;sans-serif"/>
          <w:b/>
          <w:color w:val="000000"/>
          <w:sz w:val="20"/>
        </w:rPr>
        <w:t>C.</w:t>
      </w:r>
      <w:r>
        <w:rPr>
          <w:rFonts w:ascii="Helvetica;sans-serif" w:hAnsi="Helvetica;sans-serif"/>
          <w:b/>
          <w:color w:val="000000"/>
          <w:sz w:val="20"/>
        </w:rPr>
        <w:t>New Accounting Pronouncements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Disaggregation of Income Statement Expenses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November 2024, the Financial Accounting Standards Board (the “FASB”) issued Accounting Standards Update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rFonts w:ascii="Helvetica;sans-serif" w:hAnsi="Helvetica;sans-serif"/>
          <w:b w:val="false"/>
          <w:color w:val="000000"/>
          <w:sz w:val="20"/>
        </w:rPr>
        <w:t>, which requires disclosure of specified information about certain costs and expenses. The new standard is effective for fiscal years beginning after December 15, 2026 and interim periods within fiscal years beginning after December 15, 2027, and may be applied on a prospective or retrospective basis. We are currently evaluating the impact of adopting this new pronouncement.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Targeted Improvements to the Accounting for Internal-Use Software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Intangibles—Goodwill and Other—Internal-Use Software (Subtopic 350-40): Targeted Improvements to the Accounting for Internal-Use Software</w:t>
      </w:r>
      <w:r>
        <w:rPr>
          <w:rFonts w:ascii="Helvetica;sans-serif" w:hAnsi="Helvetica;sans-serif"/>
          <w:b w:val="false"/>
          <w:color w:val="000000"/>
          <w:sz w:val="20"/>
        </w:rPr>
        <w:t>, which removes references to project stages, requiring companies to capitalize internal-use software costs when management commits to funding the software project and it is probable the project will be completed. The new standard is effective for fiscal years beginning after December 15, 2027 and interim periods within those fiscal years, and may be applied on a prospective, modified transition, or retrospective transition basis. We are currently evaluating the impact of adopting this new pronouncement.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Accounting for Government Grants Received by Business Entities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December 2025, the FASB issued ASU 2025-10, </w:t>
      </w:r>
      <w:r>
        <w:rPr>
          <w:rFonts w:ascii="Helvetica;sans-serif" w:hAnsi="Helvetica;sans-serif"/>
          <w:b w:val="false"/>
          <w:i/>
          <w:color w:val="000000"/>
          <w:sz w:val="20"/>
        </w:rPr>
        <w:t>Government Grants (Topic 832)—Accounting for Government Grants Received by Business Entities</w:t>
      </w:r>
      <w:r>
        <w:rPr>
          <w:rFonts w:ascii="Helvetica;sans-serif" w:hAnsi="Helvetica;sans-serif"/>
          <w:b w:val="false"/>
          <w:color w:val="000000"/>
          <w:sz w:val="20"/>
        </w:rPr>
        <w:t>, which establishes the accounting for government grants received by business entities. The new standard is effective for fiscal years beginning after December 15, 2028 and interim periods within those fiscal years, and may be applied on a modified prospective, modified retrospective, or retrospective transition basis. We are currently evaluating the impact of adopting this new pronouncement.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2. Revenue from Contracts with Customers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Contract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After establishing the estimated total cost at completion, we follow a standard Estimate at Completion (“EAC”) process in which we review the progress and performance on our ongoing contracts on a routine basis. Adjustments to original estimates for a contract's revenue, estimated costs at completion and estimated profit or loss often are required as work progresses under a contract, as experience is gained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and as more information is obtained, even though the scope of work required under the contract may not change and are also required if contract modifications occur. When adjustments in estimated total costs at completion are determined, the related impact on revenue and operating earnings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EAC adjustments had the following impacts for the periods presented:</w:t>
      </w:r>
    </w:p>
    <w:tbl>
      <w:tblPr>
        <w:tblW w:w="8847" w:type="dxa"/>
        <w:jc w:val="left"/>
        <w:tblInd w:w="0" w:type="dxa"/>
        <w:tblLayout w:type="fixed"/>
        <w:tblCellMar>
          <w:top w:w="28" w:type="dxa"/>
          <w:left w:w="28" w:type="dxa"/>
          <w:bottom w:w="28" w:type="dxa"/>
          <w:right w:w="28" w:type="dxa"/>
        </w:tblCellMar>
      </w:tblPr>
      <w:tblGrid>
        <w:gridCol w:w="1266"/>
        <w:gridCol w:w="1112"/>
        <w:gridCol w:w="1117"/>
        <w:gridCol w:w="228"/>
        <w:gridCol w:w="587"/>
        <w:gridCol w:w="310"/>
        <w:gridCol w:w="118"/>
        <w:gridCol w:w="118"/>
        <w:gridCol w:w="118"/>
        <w:gridCol w:w="228"/>
        <w:gridCol w:w="440"/>
        <w:gridCol w:w="310"/>
        <w:gridCol w:w="109"/>
        <w:gridCol w:w="109"/>
        <w:gridCol w:w="109"/>
        <w:gridCol w:w="211"/>
        <w:gridCol w:w="541"/>
        <w:gridCol w:w="286"/>
        <w:gridCol w:w="109"/>
        <w:gridCol w:w="109"/>
        <w:gridCol w:w="109"/>
        <w:gridCol w:w="211"/>
        <w:gridCol w:w="601"/>
        <w:gridCol w:w="391"/>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Revenue and operating earnings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Impact on diluted earnings per share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impacts noted above are attributed primarily to changes in our fixed-price programs. As changes happen in the design required to achieve contractual specifications, those changes often result in a change in the programs’ estimates and related profitability.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Contract Assets and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timing of revenue recognition, billings and cash collections results in billed accounts receivable, unbilled receivables (contract assets), and customer advances and deposits (contract liabilities)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 Contract assets and contract liabilities as of the dates presented were:</w:t>
      </w:r>
    </w:p>
    <w:tbl>
      <w:tblPr>
        <w:tblW w:w="4781" w:type="dxa"/>
        <w:jc w:val="left"/>
        <w:tblInd w:w="0" w:type="dxa"/>
        <w:tblLayout w:type="fixed"/>
        <w:tblCellMar>
          <w:top w:w="28" w:type="dxa"/>
          <w:left w:w="28" w:type="dxa"/>
          <w:bottom w:w="28" w:type="dxa"/>
          <w:right w:w="28" w:type="dxa"/>
        </w:tblCellMar>
      </w:tblPr>
      <w:tblGrid>
        <w:gridCol w:w="601"/>
        <w:gridCol w:w="530"/>
        <w:gridCol w:w="533"/>
        <w:gridCol w:w="255"/>
        <w:gridCol w:w="783"/>
        <w:gridCol w:w="132"/>
        <w:gridCol w:w="109"/>
        <w:gridCol w:w="109"/>
        <w:gridCol w:w="109"/>
        <w:gridCol w:w="402"/>
        <w:gridCol w:w="920"/>
        <w:gridCol w:w="298"/>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recognized in the six months ended June 30, 2026 and 2025, that was included in the contract liability balance at the beginning of each period was $320 million and $239 million, respectively.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Value of Remaining Performance Obligations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June 30, 2026, the total value of our remaining performance obligations was $8,787 million. We expect to recognize approximately 22% of our June 30, 2026 remaining performance obligations as revenue over the next six months, with the remainder to be recognized thereafter. Approximately 45% of our remaining performance obligations relates to long-term contracts on electric power and propulsion programs with the U.S. Navy, which are expected to be recognized as revenue over a span of up to 11 years.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Disaggregation of Revenue</w:t>
      </w:r>
    </w:p>
    <w:p>
      <w:pPr>
        <w:pStyle w:val="TextBody"/>
        <w:bidi w:val="0"/>
        <w:spacing w:lineRule="auto" w:line="288" w:before="0" w:after="180"/>
        <w:ind w:left="0" w:right="0" w:firstLine="360"/>
        <w:jc w:val="left"/>
        <w:rPr/>
      </w:pPr>
      <w:r>
        <w:rPr>
          <w:rFonts w:ascii="Helvetica;sans-serif" w:hAnsi="Helvetica;sans-serif"/>
          <w:b w:val="false"/>
          <w:i/>
          <w:color w:val="000000"/>
          <w:sz w:val="20"/>
        </w:rPr>
        <w:t>ASC</w:t>
      </w:r>
      <w:r>
        <w:rPr>
          <w:rFonts w:ascii="Helvetica;sans-serif" w:hAnsi="Helvetica;sans-serif"/>
          <w:b w:val="false"/>
          <w:color w:val="000000"/>
          <w:sz w:val="20"/>
        </w:rPr>
        <w:t xml:space="preserve">: ASC revenue is primarily derived from U.S. government development and production contracts and is generally recognized using the over time, percentage of completion cost-to-cost method of accounting. We disaggregate ASC revenue by geographical region, customer relationship and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type. We believe these categories best depict how the nature, amount, timing and uncertainty of ASC revenue and cash flows are affected by economic factors.</w:t>
      </w:r>
    </w:p>
    <w:tbl>
      <w:tblPr>
        <w:tblW w:w="8480" w:type="dxa"/>
        <w:jc w:val="left"/>
        <w:tblInd w:w="0" w:type="dxa"/>
        <w:tblLayout w:type="fixed"/>
        <w:tblCellMar>
          <w:top w:w="28" w:type="dxa"/>
          <w:left w:w="28" w:type="dxa"/>
          <w:bottom w:w="28" w:type="dxa"/>
          <w:right w:w="28" w:type="dxa"/>
        </w:tblCellMar>
      </w:tblPr>
      <w:tblGrid>
        <w:gridCol w:w="1226"/>
        <w:gridCol w:w="1080"/>
        <w:gridCol w:w="1084"/>
        <w:gridCol w:w="269"/>
        <w:gridCol w:w="613"/>
        <w:gridCol w:w="139"/>
        <w:gridCol w:w="139"/>
        <w:gridCol w:w="139"/>
        <w:gridCol w:w="139"/>
        <w:gridCol w:w="269"/>
        <w:gridCol w:w="613"/>
        <w:gridCol w:w="139"/>
        <w:gridCol w:w="109"/>
        <w:gridCol w:w="109"/>
        <w:gridCol w:w="109"/>
        <w:gridCol w:w="211"/>
        <w:gridCol w:w="646"/>
        <w:gridCol w:w="109"/>
        <w:gridCol w:w="109"/>
        <w:gridCol w:w="109"/>
        <w:gridCol w:w="109"/>
        <w:gridCol w:w="21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Fixed-price</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revenue derived from cost-plus and time-and-materials contracts.</w:t>
      </w:r>
    </w:p>
    <w:p>
      <w:pPr>
        <w:pStyle w:val="TextBody"/>
        <w:bidi w:val="0"/>
        <w:spacing w:lineRule="auto" w:line="288" w:before="0" w:after="180"/>
        <w:ind w:left="0" w:right="0" w:firstLine="360"/>
        <w:jc w:val="left"/>
        <w:rPr/>
      </w:pPr>
      <w:r>
        <w:rPr>
          <w:rFonts w:ascii="Helvetica;sans-serif" w:hAnsi="Helvetica;sans-serif"/>
          <w:b w:val="false"/>
          <w:i/>
          <w:color w:val="000000"/>
          <w:sz w:val="20"/>
        </w:rPr>
        <w:t>IMS</w:t>
      </w:r>
      <w:r>
        <w:rPr>
          <w:rFonts w:ascii="Helvetica;sans-serif" w:hAnsi="Helvetica;sans-serif"/>
          <w:b w:val="false"/>
          <w:color w:val="000000"/>
          <w:sz w:val="20"/>
        </w:rPr>
        <w:t>: IMS revenue is primarily derived from U.S. government development and production contracts and is generally recognized using the over time, percentage of completion cost-to-cost method of accounting. We disaggregate IMS revenue by geographical region, customer relationship and contract type. We believe these categories best depict how the nature, amount, timing and uncertainty of IMS revenue and cash flows are affected by economic factors.</w:t>
      </w:r>
    </w:p>
    <w:tbl>
      <w:tblPr>
        <w:tblW w:w="8467" w:type="dxa"/>
        <w:jc w:val="left"/>
        <w:tblInd w:w="0" w:type="dxa"/>
        <w:tblLayout w:type="fixed"/>
        <w:tblCellMar>
          <w:top w:w="28" w:type="dxa"/>
          <w:left w:w="28" w:type="dxa"/>
          <w:bottom w:w="28" w:type="dxa"/>
          <w:right w:w="28" w:type="dxa"/>
        </w:tblCellMar>
      </w:tblPr>
      <w:tblGrid>
        <w:gridCol w:w="1226"/>
        <w:gridCol w:w="1080"/>
        <w:gridCol w:w="1084"/>
        <w:gridCol w:w="269"/>
        <w:gridCol w:w="613"/>
        <w:gridCol w:w="139"/>
        <w:gridCol w:w="139"/>
        <w:gridCol w:w="139"/>
        <w:gridCol w:w="139"/>
        <w:gridCol w:w="269"/>
        <w:gridCol w:w="613"/>
        <w:gridCol w:w="139"/>
        <w:gridCol w:w="109"/>
        <w:gridCol w:w="109"/>
        <w:gridCol w:w="109"/>
        <w:gridCol w:w="245"/>
        <w:gridCol w:w="559"/>
        <w:gridCol w:w="126"/>
        <w:gridCol w:w="126"/>
        <w:gridCol w:w="126"/>
        <w:gridCol w:w="126"/>
        <w:gridCol w:w="245"/>
        <w:gridCol w:w="559"/>
        <w:gridCol w:w="179"/>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Fixed-price</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revenue derived from cost-plus and time-and-materials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3. Accounts Receivable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Accounts receivable consists of the following:</w:t>
      </w:r>
    </w:p>
    <w:tbl>
      <w:tblPr>
        <w:tblW w:w="6026" w:type="dxa"/>
        <w:jc w:val="left"/>
        <w:tblInd w:w="0" w:type="dxa"/>
        <w:tblLayout w:type="fixed"/>
        <w:tblCellMar>
          <w:top w:w="28" w:type="dxa"/>
          <w:left w:w="28" w:type="dxa"/>
          <w:bottom w:w="28" w:type="dxa"/>
          <w:right w:w="28" w:type="dxa"/>
        </w:tblCellMar>
      </w:tblPr>
      <w:tblGrid>
        <w:gridCol w:w="1052"/>
        <w:gridCol w:w="927"/>
        <w:gridCol w:w="930"/>
        <w:gridCol w:w="308"/>
        <w:gridCol w:w="703"/>
        <w:gridCol w:w="159"/>
        <w:gridCol w:w="109"/>
        <w:gridCol w:w="109"/>
        <w:gridCol w:w="109"/>
        <w:gridCol w:w="402"/>
        <w:gridCol w:w="920"/>
        <w:gridCol w:w="298"/>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allowance for credit losses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Accounts receivable, net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June 30, 2026 and December 31, 2025, the Company has $55 million and $53 million of noncurrent accounts receivable, respectively, that are included in other noncurrent assets in our Consolidated Balance Sheets.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Company maintains certain agreements with financial institutions to sell certain trade receivables. See </w:t>
      </w:r>
      <w:r>
        <w:rPr>
          <w:rFonts w:ascii="Helvetica;sans-serif" w:hAnsi="Helvetica;sans-serif"/>
          <w:b w:val="false"/>
          <w:i/>
          <w:color w:val="000000"/>
          <w:sz w:val="20"/>
        </w:rPr>
        <w:t xml:space="preserve">Note 4: Sale of Receivables </w:t>
      </w:r>
      <w:r>
        <w:rPr>
          <w:rFonts w:ascii="Helvetica;sans-serif" w:hAnsi="Helvetica;sans-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4. Sale of Receivables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is party to factoring facilities with various financial institutions (the “purchasers”) with an aggregate capacity of $175 million and $225 million as of June 30, 2026 and December 31, 2025,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During the six months ended June 30, 2026 and 2025, the Company incurred immaterial purchase discount fees which are presented in general and administrative expenses on the Consolidated Statements of Earnings.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table below summarizes the activity under the factoring facilities:</w:t>
      </w:r>
    </w:p>
    <w:tbl>
      <w:tblPr>
        <w:tblW w:w="6266" w:type="dxa"/>
        <w:jc w:val="left"/>
        <w:tblInd w:w="0" w:type="dxa"/>
        <w:tblLayout w:type="fixed"/>
        <w:tblCellMar>
          <w:top w:w="28" w:type="dxa"/>
          <w:left w:w="28" w:type="dxa"/>
          <w:bottom w:w="28" w:type="dxa"/>
          <w:right w:w="28" w:type="dxa"/>
        </w:tblCellMar>
      </w:tblPr>
      <w:tblGrid>
        <w:gridCol w:w="1438"/>
        <w:gridCol w:w="1265"/>
        <w:gridCol w:w="1272"/>
        <w:gridCol w:w="255"/>
        <w:gridCol w:w="490"/>
        <w:gridCol w:w="131"/>
        <w:gridCol w:w="131"/>
        <w:gridCol w:w="131"/>
        <w:gridCol w:w="131"/>
        <w:gridCol w:w="255"/>
        <w:gridCol w:w="581"/>
        <w:gridCol w:w="186"/>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Sales of receivables</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Cash returned to purchasers</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Outstanding balance sold to purchasers</w:t>
            </w:r>
          </w:p>
        </w:tc>
        <w:tc>
          <w:tcPr>
            <w:tcW w:w="7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Cash collected, not remitted to purchasers</w:t>
            </w:r>
            <w:r>
              <w:rPr>
                <w:rFonts w:ascii="Helvetica;sans-serif" w:hAnsi="Helvetica;sans-serif"/>
                <w:b w:val="false"/>
                <w:color w:val="000000"/>
                <w:sz w:val="13"/>
              </w:rPr>
              <w:t>(1)</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Remaining sold receivables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(1)Represents cash collected on behalf of purchasers and not yet remitted. This balance is included within short-term borrowings and current portion of long-term debt in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5. Inventories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Inventories consist of the following:</w:t>
      </w:r>
    </w:p>
    <w:tbl>
      <w:tblPr>
        <w:tblW w:w="4857" w:type="dxa"/>
        <w:jc w:val="left"/>
        <w:tblInd w:w="0" w:type="dxa"/>
        <w:tblLayout w:type="fixed"/>
        <w:tblCellMar>
          <w:top w:w="28" w:type="dxa"/>
          <w:left w:w="28" w:type="dxa"/>
          <w:bottom w:w="28" w:type="dxa"/>
          <w:right w:w="28" w:type="dxa"/>
        </w:tblCellMar>
      </w:tblPr>
      <w:tblGrid>
        <w:gridCol w:w="630"/>
        <w:gridCol w:w="554"/>
        <w:gridCol w:w="556"/>
        <w:gridCol w:w="308"/>
        <w:gridCol w:w="703"/>
        <w:gridCol w:w="159"/>
        <w:gridCol w:w="109"/>
        <w:gridCol w:w="109"/>
        <w:gridCol w:w="109"/>
        <w:gridCol w:w="402"/>
        <w:gridCol w:w="920"/>
        <w:gridCol w:w="298"/>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Raw materials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Work in progress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inventories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6. Property, Plant and Equipment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Property, plant and equipment by major asset class consists of the following: </w:t>
      </w:r>
    </w:p>
    <w:tbl>
      <w:tblPr>
        <w:tblW w:w="7047" w:type="dxa"/>
        <w:jc w:val="left"/>
        <w:tblInd w:w="0" w:type="dxa"/>
        <w:tblLayout w:type="fixed"/>
        <w:tblCellMar>
          <w:top w:w="28" w:type="dxa"/>
          <w:left w:w="28" w:type="dxa"/>
          <w:bottom w:w="28" w:type="dxa"/>
          <w:right w:w="28" w:type="dxa"/>
        </w:tblCellMar>
      </w:tblPr>
      <w:tblGrid>
        <w:gridCol w:w="1421"/>
        <w:gridCol w:w="1252"/>
        <w:gridCol w:w="1257"/>
        <w:gridCol w:w="308"/>
        <w:gridCol w:w="703"/>
        <w:gridCol w:w="159"/>
        <w:gridCol w:w="109"/>
        <w:gridCol w:w="109"/>
        <w:gridCol w:w="109"/>
        <w:gridCol w:w="402"/>
        <w:gridCol w:w="920"/>
        <w:gridCol w:w="298"/>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Land, buildings and improvements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Plant and machinery</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Equipment and other</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property, plant and equipment, at cost</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1,088 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property, plant and equipment, net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Depreciation expense related to property, plant and equipment was $20 million and $39 million for the three and six months ended June 30, 2026, respectively, and $17 million and $35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7. Other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significant other liabilities by balance sheet caption:</w:t>
      </w:r>
    </w:p>
    <w:tbl>
      <w:tblPr>
        <w:tblW w:w="6537" w:type="dxa"/>
        <w:jc w:val="left"/>
        <w:tblInd w:w="0" w:type="dxa"/>
        <w:tblLayout w:type="fixed"/>
        <w:tblCellMar>
          <w:top w:w="28" w:type="dxa"/>
          <w:left w:w="28" w:type="dxa"/>
          <w:bottom w:w="28" w:type="dxa"/>
          <w:right w:w="28" w:type="dxa"/>
        </w:tblCellMar>
      </w:tblPr>
      <w:tblGrid>
        <w:gridCol w:w="1237"/>
        <w:gridCol w:w="1089"/>
        <w:gridCol w:w="1094"/>
        <w:gridCol w:w="308"/>
        <w:gridCol w:w="703"/>
        <w:gridCol w:w="159"/>
        <w:gridCol w:w="109"/>
        <w:gridCol w:w="109"/>
        <w:gridCol w:w="109"/>
        <w:gridCol w:w="402"/>
        <w:gridCol w:w="920"/>
        <w:gridCol w:w="298"/>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Salaries, wages and accrued bonuses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Fringe benefits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Provision for contract losses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Taxes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Warranty reserves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other current liabilities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Unrecognized tax benefits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Warranty reserves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other noncurrent liabilities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8. Intangible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588"/>
        <w:gridCol w:w="344"/>
        <w:gridCol w:w="345"/>
        <w:gridCol w:w="261"/>
        <w:gridCol w:w="801"/>
        <w:gridCol w:w="135"/>
        <w:gridCol w:w="109"/>
        <w:gridCol w:w="109"/>
        <w:gridCol w:w="109"/>
        <w:gridCol w:w="305"/>
        <w:gridCol w:w="936"/>
        <w:gridCol w:w="158"/>
        <w:gridCol w:w="109"/>
        <w:gridCol w:w="109"/>
        <w:gridCol w:w="109"/>
        <w:gridCol w:w="269"/>
        <w:gridCol w:w="614"/>
        <w:gridCol w:w="139"/>
        <w:gridCol w:w="109"/>
        <w:gridCol w:w="109"/>
        <w:gridCol w:w="109"/>
        <w:gridCol w:w="261"/>
        <w:gridCol w:w="801"/>
        <w:gridCol w:w="135"/>
        <w:gridCol w:w="109"/>
        <w:gridCol w:w="109"/>
        <w:gridCol w:w="109"/>
        <w:gridCol w:w="368"/>
        <w:gridCol w:w="840"/>
        <w:gridCol w:w="191"/>
        <w:gridCol w:w="109"/>
        <w:gridCol w:w="109"/>
        <w:gridCol w:w="109"/>
        <w:gridCol w:w="266"/>
        <w:gridCol w:w="607"/>
        <w:gridCol w:w="206"/>
      </w:tblGrid>
      <w:tr>
        <w:trPr/>
        <w:tc>
          <w:tcPr>
            <w:tcW w:w="5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Acquired intangible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(995)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Patents and licenses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Helvetica;sans-serif" w:hAnsi="Helvetica;sans-serif"/>
                <w:b/>
                <w:color w:val="000000"/>
                <w:sz w:val="20"/>
              </w:rPr>
              <w:t>Total intangible assets</w:t>
            </w:r>
            <w:r>
              <w:rPr>
                <w:color w:val="000000"/>
              </w:rPr>
              <w:t xml:space="preserve">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(993)</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Amortization expense related to acquired intangible assets was $6 million for the three months ended June 30, 2026 and 2025, and $11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9. 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effective tax rate was 14.0% and 16.4% for the three and six months ended June 30, 2026, respectively, and 19.4% and 16.8% for the three and six months ended June 30, 2025, respectively. For the three and six months ended June 30, 2026 and the six months ended June 30, 2025, the effective tax rate was lower than the statutory rate primarily due to the recognition of discrete tax benefits associated with the vesting of stock-based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10. Debt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Company’s debt consists of the following:</w:t>
      </w:r>
    </w:p>
    <w:tbl>
      <w:tblPr>
        <w:tblW w:w="8801" w:type="dxa"/>
        <w:jc w:val="left"/>
        <w:tblInd w:w="0" w:type="dxa"/>
        <w:tblLayout w:type="fixed"/>
        <w:tblCellMar>
          <w:top w:w="28" w:type="dxa"/>
          <w:left w:w="28" w:type="dxa"/>
          <w:bottom w:w="28" w:type="dxa"/>
          <w:right w:w="28" w:type="dxa"/>
        </w:tblCellMar>
      </w:tblPr>
      <w:tblGrid>
        <w:gridCol w:w="2056"/>
        <w:gridCol w:w="1809"/>
        <w:gridCol w:w="1819"/>
        <w:gridCol w:w="308"/>
        <w:gridCol w:w="703"/>
        <w:gridCol w:w="159"/>
        <w:gridCol w:w="109"/>
        <w:gridCol w:w="109"/>
        <w:gridCol w:w="109"/>
        <w:gridCol w:w="402"/>
        <w:gridCol w:w="920"/>
        <w:gridCol w:w="298"/>
      </w:tblGrid>
      <w:tr>
        <w:trPr/>
        <w:tc>
          <w:tcPr>
            <w:tcW w:w="205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568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2022 Term Loan A</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 and other</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 related to factoring facilities (Note 4)</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98" w:type="dxa"/>
            <w:tcBorders>
              <w:right w:val="single" w:sz="8" w:space="0" w:color="FFFFFF"/>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debt principal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298"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issuance costs and discounts</w:t>
            </w:r>
          </w:p>
        </w:tc>
        <w:tc>
          <w:tcPr>
            <w:tcW w:w="1011"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9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debt, net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347 </w:t>
            </w:r>
          </w:p>
        </w:tc>
        <w:tc>
          <w:tcPr>
            <w:tcW w:w="298" w:type="dxa"/>
            <w:tcBorders>
              <w:top w:val="single" w:sz="8" w:space="0" w:color="000000"/>
              <w:right w:val="single" w:sz="8" w:space="0" w:color="FFFFFF"/>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short-term borrowings and current portion of long-term debt</w:t>
            </w:r>
          </w:p>
        </w:tc>
        <w:tc>
          <w:tcPr>
            <w:tcW w:w="1011"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5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98"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long-term debt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298" w:type="dxa"/>
            <w:tcBorders>
              <w:top w:val="single" w:sz="8" w:space="0" w:color="000000"/>
              <w:bottom w:val="double" w:sz="8" w:space="0" w:color="000000"/>
              <w:right w:val="single" w:sz="8" w:space="0" w:color="FFFFFF"/>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Term Loan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November 2022, the Company entered into a senior unsecured credit agreement with Bank of America in the amount of $500 million (the “2022 Credit Agreement”) with a maturity of November 29, 2027. The 2022 Credit Agreement provided for a term loan (the “2022 Term Loan A”) of $225 million. The fair value of the 2022 Term Loan A was approximately $190 million at December 31, 2025. The fair value of the Company’s outstanding debt obligations is calculated using Level 2 inputs, based on interest rates available for debt with terms and maturities similar to the Company’s existing debt arrangements.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January 2026, the Company repaid the remaining outstanding balance of the 2022 Term Loan A in the amount of $191 million and terminated the 2022 Credit Agreement. There was no prepayment penalty or other fee associated with prepaying the principal balance.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Credit Facilities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2022 Credit Agreement provided for a revolving credit facility available for the working capital needs of the Company (the “2022 Revolving Credit Facility”). As of December 31, 2025, the 2022 Revolving Credit Facility had a limit of $275 million. There was no outstanding balance on the 2022 Revolving Credit Facility as of December 31, 2025. As noted above, the 2022 Credit Agreement was terminated in January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January 2026, the Company entered into a senior unsecured credit agreement with JPMorgan Chase Bank N.A. and the other lenders party thereto (the “2026 Credit Agreement”). The 2026 Credit Agreement provides for a revolving credit facility available for the working capital requirements of the Company (the “2026 Revolving Credit Facility”). The 2026 Revolving Credit Facility has a limit of $500 million and expires in January 2031. There was no outstanding balance on the 2026 Revolving Credit Facility as of June 30, 2026. Loans under the 2026 Revolving Credit Facility bear interest at a variable rate generally based on the Secured Overnight Financing Rate (“SOFR”), plus a spread ranging from 1.25% to 1.63% depending on the leverage ratio, as defined in the 2026 Credit Agreement, 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alternative variable rate based on the higher of the prime rate, as defined in the 2026 Credit Agreement, the federal funds rate, or a rate generally based on the SOFR, in each case subject to an additional basis point spread as defined in the 2026 Credit Agreement. The Company also pays a commitment fee ranging between 0.15% and 0.30% depending on the Company’s leverage ratio applied to the unused balance of the 2026 Revolving Credit Facility. The 2026 Credit Agreement allows for up to $75 million of the 2026 Revolving Credit Facility to be used to issue letters of credit in support of Company contracts. As of June 30, 2026, the Company had outstanding letters of credit against the 2026 Revolving Credit Facility of $9 million.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to the letters of credit issued under the 2026 Revolving Credit Facility, the Company maintains uncommitted working capital credit facilities with certain financial institutions in the aggregate of $105 million at June 30, 2026 and December 31, 2025 (the “Financial Institution Credit Facilities”). The sole purpose of the Financial Institution Credit Facilities is to support standby letter of credit issuances on contracts with customers. The Company had letters of credit outstanding of approximately $49 million and $54 million as of June 30, 2026 and December 31, 2025, respectively, which reduce the available capacity of the Financial Institution Credit Facilities by an equal amount.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Maturities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Maturities of debt as of June 30, 2026 are as follows:</w:t>
      </w:r>
    </w:p>
    <w:tbl>
      <w:tblPr>
        <w:tblW w:w="3422"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211"/>
        <w:gridCol w:w="481"/>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11. Earnings Per Share (“EPS”), Stock Repurchases and Dividends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EPS</w:t>
      </w:r>
    </w:p>
    <w:tbl>
      <w:tblPr>
        <w:tblW w:w="10008" w:type="dxa"/>
        <w:jc w:val="left"/>
        <w:tblInd w:w="0" w:type="dxa"/>
        <w:tblLayout w:type="fixed"/>
        <w:tblCellMar>
          <w:top w:w="28" w:type="dxa"/>
          <w:left w:w="28" w:type="dxa"/>
          <w:bottom w:w="28" w:type="dxa"/>
          <w:right w:w="28" w:type="dxa"/>
        </w:tblCellMar>
      </w:tblPr>
      <w:tblGrid>
        <w:gridCol w:w="1787"/>
        <w:gridCol w:w="1571"/>
        <w:gridCol w:w="1577"/>
        <w:gridCol w:w="253"/>
        <w:gridCol w:w="649"/>
        <w:gridCol w:w="130"/>
        <w:gridCol w:w="130"/>
        <w:gridCol w:w="130"/>
        <w:gridCol w:w="130"/>
        <w:gridCol w:w="253"/>
        <w:gridCol w:w="649"/>
        <w:gridCol w:w="130"/>
        <w:gridCol w:w="109"/>
        <w:gridCol w:w="109"/>
        <w:gridCol w:w="109"/>
        <w:gridCol w:w="231"/>
        <w:gridCol w:w="593"/>
        <w:gridCol w:w="119"/>
        <w:gridCol w:w="119"/>
        <w:gridCol w:w="119"/>
        <w:gridCol w:w="119"/>
        <w:gridCol w:w="231"/>
        <w:gridCol w:w="593"/>
        <w:gridCol w:w="168"/>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amounts)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weighted average number of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265.7 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Impact of dilutive stock-based awards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weighted average number of shares outstanding</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2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0.32 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0.55 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Basic EPS is computed by dividing net earnings by the weighted average number of shares of common stock outstanding during each period. The computation of diluted EPS includes the dilutive effect of outstanding stock-based compensation awards (which primarily consist of employee stock options, restricted stock units, and performance-based restricted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Stock Repurchases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February 20, 2025, the Company announced that its Board of Directors (the “Board”) approved a stock repurchase program that allows the Company to purchase up to $75 million of its outstanding common stock through March 4, 2027, subject to market conditions. As of June 30, 2026, the Company has repurchased approximately $50 million under the program. The Company retires its common stock upon repurchase with the excess over par value allocated to additional paid-in capital.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Dividends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declared and paid a quarterly dividend of $0.09 per share of its common stock during the three months ended June 30, 2026. Subsequent to quarter end, the Company’s Board declared a cash dividend of $0.09 per share of common stock payable on August 27, 2026 to stockholders of record as of the close of business on August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12. Commitments and Contingencies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Commitments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Company’s commitments are primarily related to our lease agreements, purchase obligations, and credit agreements.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Contingencies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 The Company reviews the developments in contingencies that could affect the amount of the reserves that have been previously recorded. The Company adjusts provisions and changes to disclosures accordingly to reflect the impact of negotiations, settlements, rulings, advice of legal counsel, and updated information. Significant judgment is required to determine both the probability and the estimated amount of any potential losses.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Management believes that adequate provisions for such potential audits, investigations, claims and contract adjustments, if any, have been made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13. Related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has related party sales and purchases with Leonardo S.p.A., our indirect majority stockholder, and its other affiliates that occur in the regular course of business. Related party sales are included in revenues and were $3 million and $6 million for the three and six months ended June 30, 2026, respectively, and $3 million and $7 million for the three and six months ended June 30, 2025, respectively. Related party purchases are included in cost of revenues and were immaterial for the three and six months ended June 30, 2026 and 2025. The receivables with the indirect majority stockholder and its other affiliates of $6 million and $5 million, respectively, and payables of $4 million and $5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respectively, as of June 30, 2026 and December 31, 2025, are included in accounts receivable, net and accounts payable in our Consolidated Balance Sheets. In addition, there were related party balances in contract assets of $9 million and $16 million at June 30, 2026 and December 31, 2025,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has an investment of $21 million in the preferred stock of a private company that is included in other noncurrent assets in our Consolidated Balance Sheets. The Company holds two board seats in the investee. Related party sales to this company were immaterial for the three and six months ended June 30, 2026. The Company had immaterial related party balances in accounts receivable with this company at June 30, 2026. The Company had $6 million of related party balances in contract assets with this company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14. Segment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Operating segments represent components of an enterprise for which separate financial information is available that is regularly reviewed by the CODM in determining how to allocate resources and assess performance. The Company’s operating and reportable segments consist of ASC and IMS. All other operations, which consists primarily of DRS corporate headquarters and certain non-operating subsidiaries of the Company, are grouped in Corporate &amp; Eliminations.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CODM primarily uses operating earnings to manage the Company and allocate resources. Operating earnings is used to facilitate a comparison of the ordinary, ongoing and customary course of our operations on a consistent basis from period to period and provide an additional understanding of factors and trends affecting our business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information related to our segments for the periods ended June 30, 2026 and 2025 is presented in the following tables. Consistent accounting policies have been applied by all segments within the Company, within all reporting periods. Intersegment sales are generally transferred at cost to the buying segment, and the sourcing segment does not recognize a profit. Such intercompany operating earnings is eliminated in consolidation, so that the Company’s total revenues and operating earnings reflect only those transactions with external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expenses, and operating earnings by segment and the reconciliation to earnings before taxes for the periods ended June 30, 2026 and 2025 consist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926"/>
        <w:gridCol w:w="1647"/>
        <w:gridCol w:w="1633"/>
        <w:gridCol w:w="258"/>
        <w:gridCol w:w="590"/>
        <w:gridCol w:w="133"/>
        <w:gridCol w:w="133"/>
        <w:gridCol w:w="133"/>
        <w:gridCol w:w="133"/>
        <w:gridCol w:w="258"/>
        <w:gridCol w:w="590"/>
        <w:gridCol w:w="133"/>
        <w:gridCol w:w="109"/>
        <w:gridCol w:w="109"/>
        <w:gridCol w:w="109"/>
        <w:gridCol w:w="211"/>
        <w:gridCol w:w="646"/>
        <w:gridCol w:w="109"/>
        <w:gridCol w:w="109"/>
        <w:gridCol w:w="109"/>
        <w:gridCol w:w="109"/>
        <w:gridCol w:w="211"/>
        <w:gridCol w:w="646"/>
        <w:gridCol w:w="161"/>
      </w:tblGrid>
      <w:tr>
        <w:trPr/>
        <w:tc>
          <w:tcPr>
            <w:tcW w:w="192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52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Cost of revenues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cost of revenues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General and administrative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general and administrative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Company-funded independent research and development</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company-funded independent research and development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Amortization of acquired intangible assets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amortization of acquired intangible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Operating earnings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operating earnings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8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Earnings before taxes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w:t>
      </w:r>
    </w:p>
    <w:p>
      <w:pPr>
        <w:pStyle w:val="TextBody"/>
        <w:bidi w:val="0"/>
        <w:spacing w:lineRule="auto" w:line="288" w:before="0" w:after="180"/>
        <w:jc w:val="center"/>
        <w:rPr/>
      </w:pPr>
      <w:r>
        <w:rPr>
          <w:rFonts w:ascii="Helvetica;sans-serif" w:hAnsi="Helvetica;sans-serif"/>
          <w:b/>
          <w:color w:val="000000"/>
          <w:sz w:val="20"/>
        </w:rPr>
        <w:t>NOTES TO UNAUDITED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intersegment revenues by segment for the periods ended June 30, 2026 and 2025 consist of the following:</w:t>
      </w:r>
    </w:p>
    <w:tbl>
      <w:tblPr>
        <w:tblW w:w="7894" w:type="dxa"/>
        <w:jc w:val="left"/>
        <w:tblInd w:w="0" w:type="dxa"/>
        <w:tblLayout w:type="fixed"/>
        <w:tblCellMar>
          <w:top w:w="28" w:type="dxa"/>
          <w:left w:w="28" w:type="dxa"/>
          <w:bottom w:w="28" w:type="dxa"/>
          <w:right w:w="28" w:type="dxa"/>
        </w:tblCellMar>
      </w:tblPr>
      <w:tblGrid>
        <w:gridCol w:w="1020"/>
        <w:gridCol w:w="898"/>
        <w:gridCol w:w="902"/>
        <w:gridCol w:w="344"/>
        <w:gridCol w:w="441"/>
        <w:gridCol w:w="177"/>
        <w:gridCol w:w="177"/>
        <w:gridCol w:w="177"/>
        <w:gridCol w:w="177"/>
        <w:gridCol w:w="344"/>
        <w:gridCol w:w="441"/>
        <w:gridCol w:w="177"/>
        <w:gridCol w:w="109"/>
        <w:gridCol w:w="109"/>
        <w:gridCol w:w="109"/>
        <w:gridCol w:w="292"/>
        <w:gridCol w:w="520"/>
        <w:gridCol w:w="150"/>
        <w:gridCol w:w="150"/>
        <w:gridCol w:w="150"/>
        <w:gridCol w:w="150"/>
        <w:gridCol w:w="292"/>
        <w:gridCol w:w="375"/>
        <w:gridCol w:w="213"/>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intersegment revenues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Depreciation by segment for the periods ended June 30, 2026 and 2025 consists of the following:</w:t>
      </w:r>
    </w:p>
    <w:tbl>
      <w:tblPr>
        <w:tblW w:w="6936" w:type="dxa"/>
        <w:jc w:val="left"/>
        <w:tblInd w:w="0" w:type="dxa"/>
        <w:tblLayout w:type="fixed"/>
        <w:tblCellMar>
          <w:top w:w="28" w:type="dxa"/>
          <w:left w:w="28" w:type="dxa"/>
          <w:bottom w:w="28" w:type="dxa"/>
          <w:right w:w="28" w:type="dxa"/>
        </w:tblCellMar>
      </w:tblPr>
      <w:tblGrid>
        <w:gridCol w:w="672"/>
        <w:gridCol w:w="592"/>
        <w:gridCol w:w="595"/>
        <w:gridCol w:w="302"/>
        <w:gridCol w:w="538"/>
        <w:gridCol w:w="156"/>
        <w:gridCol w:w="156"/>
        <w:gridCol w:w="156"/>
        <w:gridCol w:w="156"/>
        <w:gridCol w:w="302"/>
        <w:gridCol w:w="538"/>
        <w:gridCol w:w="156"/>
        <w:gridCol w:w="109"/>
        <w:gridCol w:w="109"/>
        <w:gridCol w:w="109"/>
        <w:gridCol w:w="274"/>
        <w:gridCol w:w="489"/>
        <w:gridCol w:w="141"/>
        <w:gridCol w:w="141"/>
        <w:gridCol w:w="141"/>
        <w:gridCol w:w="141"/>
        <w:gridCol w:w="274"/>
        <w:gridCol w:w="489"/>
        <w:gridCol w:w="200"/>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depreciation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assets by segment as of June 30, 2026 and December 31, 2025, consist of the following:</w:t>
      </w:r>
    </w:p>
    <w:tbl>
      <w:tblPr>
        <w:tblW w:w="5831" w:type="dxa"/>
        <w:jc w:val="left"/>
        <w:tblInd w:w="0" w:type="dxa"/>
        <w:tblLayout w:type="fixed"/>
        <w:tblCellMar>
          <w:top w:w="28" w:type="dxa"/>
          <w:left w:w="28" w:type="dxa"/>
          <w:bottom w:w="28" w:type="dxa"/>
          <w:right w:w="28" w:type="dxa"/>
        </w:tblCellMar>
      </w:tblPr>
      <w:tblGrid>
        <w:gridCol w:w="824"/>
        <w:gridCol w:w="726"/>
        <w:gridCol w:w="729"/>
        <w:gridCol w:w="109"/>
        <w:gridCol w:w="109"/>
        <w:gridCol w:w="109"/>
        <w:gridCol w:w="109"/>
        <w:gridCol w:w="255"/>
        <w:gridCol w:w="783"/>
        <w:gridCol w:w="132"/>
        <w:gridCol w:w="109"/>
        <w:gridCol w:w="109"/>
        <w:gridCol w:w="109"/>
        <w:gridCol w:w="338"/>
        <w:gridCol w:w="1035"/>
        <w:gridCol w:w="246"/>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2,451 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15. Subsequent Events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Subsequent to quarter end, on July 28, 2026, the Company announced that it entered into a definitive agreement to acquire Raft LLC, an open-architecture mission software company focused on multi-domain data fusion and artificial intelligence for U.S. government and defense customers, for $450 million. We expect to fund the acquisition with cash on hand and borrowings under our revolving credit facility. The transaction is subject to customary closing conditions and regulatory approvals, and is expected to close in the fourth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You should read this discussion together with our Consolidated Financial Statements and related notes thereto included elsewhere in this Quarterly Report.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This discussion and other parts of this Quarterly Report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discussed under “Special Note Regarding Forward-Looking Statements and Information” in this Quarterly Report and under “Risk Factors” in our Annual Report on Form 10-K for the year ended December 31, 2025. Actual results may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Business Overview and Considerations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an innovative and agile provider of advanced defense technology to U.S. national security customers and allies around the world. We specialize in the design, development and manufacture of advanced sensing, network computing, force protection, and electric power and propulsion technologies and solutions. The strength of our market positioning in these technology areas has created a foundational and diverse base of programs across the DoW and its allies. We believe these technologies will not only support our customers in today’s mission but will also underpin their strategy to migrate towards more autonomous, dynamic, interconnected, and multi-domain capabilities needed to address evolving and emerging threats. We view more advanced capabilities in sensing, computing, self-protection and power as necessary to enable these strategic priorities.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overall strategy is to be a balanced and diversified company, less vulnerable to any one budgetary platform or service decision with a specific focus on establishing strong technical and market positions in areas of priority for the DoW. The U.S. government, primarily with the DoW, is our largest customer and, for the six months ended June 30, 2026, accounted for approximately 82% of our business as an end-user, with revenues principally derived directly or indirectly from contracts with the U.S. Navy and U.S. Army, which represented 37% and 33%, respectively, of our total revenues for such period, which is consistent with historic trends.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operations and reporting are structured into the following two technology-driven segments based on the capabilities and solutions offered to our customers:</w:t>
      </w:r>
    </w:p>
    <w:p>
      <w:pPr>
        <w:pStyle w:val="TextBody"/>
        <w:bidi w:val="0"/>
        <w:spacing w:lineRule="auto" w:line="268" w:before="0" w:after="180"/>
        <w:jc w:val="left"/>
        <w:rPr>
          <w:rFonts w:ascii="Helvetica;sans-serif" w:hAnsi="Helvetica;sans-serif"/>
          <w:b w:val="false"/>
          <w:i/>
          <w:color w:val="000000"/>
          <w:sz w:val="20"/>
        </w:rPr>
      </w:pPr>
      <w:r>
        <w:rPr>
          <w:rFonts w:ascii="Helvetica;sans-serif" w:hAnsi="Helvetica;sans-serif"/>
          <w:b w:val="false"/>
          <w:i/>
          <w:color w:val="000000"/>
          <w:sz w:val="20"/>
        </w:rPr>
        <w:t>Advanced Sensing and Computing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Advanced Sensing and Computing (“ASC”) segment designs, develops and manufactures sensing and network computing technology that enables real-time situational awareness required for enhanced operational decision making and execution by our customers across increasingly complex and contested operating environments.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tactical radars, dismounted soldier sensing and space sensing. Across our offerings, we are focused on advancing sensor range and enhancing the precision, clarity, definition, spectral depth and effectiveness of our sensors to deliver actionable information in time-sensitive mission scenarios in combination with artificial intelligence (“AI”), enabled by our advanced edge processing solutions. We also seek to leverage the knowledge and expertise built through our decades of experience to optimize size, weight, power and cost for our customers’ specific mission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support integration onto a wide range of tactical platforms, including mobile and power-constrained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sensing capabilities are complemented by our rugged, trusted and cyber resilient network edge computing products that support data processing, fusion, and dissemination at the tactical edge. Our network computing offerings are utilized across a broad range of mission applications including platform computing on ground and shipboard (both surface ship and submarine) for advanced battle management, combat systems, radar, command and control, tactical networks, tactical computing and communications. These products help support the DoW’s need for greater situational understanding and faster decision-making at the tactical edge by leveraging AI and AI-optimized open architecture software, SAGEcore™, to rapidly share, synthesize and transmit data securely between command centers and forward-positioned defense assets and personnel, while supporting reduced latency, operational continuity, and interoperability through modular, open-system architectures.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Within ASC, we are increasingly combining sensing, computing, and software to support applications such as counter-unmanned aircraft systems (“C-UAS”), electronic warfare, and networked sensing, where performance depends on the ability to detect, process, and act on data in real time. These integrated capabilities are designed to support evolving operational concepts that emphasize distributed operations, resilient communications, and decision advantage at the tactical edge.</w:t>
      </w:r>
    </w:p>
    <w:p>
      <w:pPr>
        <w:pStyle w:val="TextBody"/>
        <w:bidi w:val="0"/>
        <w:spacing w:lineRule="auto" w:line="276" w:before="0" w:after="180"/>
        <w:jc w:val="left"/>
        <w:rPr>
          <w:rFonts w:ascii="Helvetica;sans-serif" w:hAnsi="Helvetica;sans-serif"/>
          <w:b w:val="false"/>
          <w:i/>
          <w:color w:val="000000"/>
          <w:sz w:val="20"/>
        </w:rPr>
      </w:pPr>
      <w:r>
        <w:rPr>
          <w:rFonts w:ascii="Helvetica;sans-serif" w:hAnsi="Helvetica;sans-serif"/>
          <w:b w:val="false"/>
          <w:i/>
          <w:color w:val="000000"/>
          <w:sz w:val="20"/>
        </w:rPr>
        <w:t>Integrated Mission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Integrated Mission Systems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DRS is a leading provider of next-generation electrical propulsion systems for the U.S. Navy. We provide power conversion, control, distribution and propulsion systems for the U.S. Navy’s top priority shipbuilding programs, including the Columbia Class ballistic missile submarine, the first modern U.S. electric drive submarine.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DRS is well positioned to meet the needs of an increasingly electrified and power-intensive fleet through high-efficiency, power-dense permanent magnet motors, energy storage systems, and associated rugged and compact power conversion, electrical actuation, and advanced thermal management technologies. These capabilities support higher onboard power demands, improved efficiency, and enhanced platform performance across next-generation naval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C-UAS, and vehicle survivability and protection. Our short-range air defense systems integrate advanced active electronically scanned array radars, EW equipment, reconnaissance and surveillance systems, mission command capabilities, modular combat vehicle turrets, and stabilized sensor suites, as well as kinetic and directed energy countermeasures to protect against evolving threats. Our force protection systems, including solutions for C-UAS, help protect personnel and defense assets from enemy combatants.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Focus on Customer and Execution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every lesson experienced in our Company and insist that these lessons affect all elements of our business. This approach permeates through the Company with a focus on continuous improvement at every level.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Part of this learning has resulted in institutionalizing our continuous improvement process through our Business Excellence initiative called the Always Performing for Excellence (“APEX”) program. The APEX program’s goal is to strive for continuous improvement through unification of all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Continuous improvement through the APEX program also allows us to improve our efficiency, which we believe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continue to align our investment strategy with the evolving priorities of the DoW, with a particular focus on increasing internal research and development to accelerate innovation in advanced sensing, networked systems, force protection and naval power &amp; propulsion. In parallel, we are selectively investing in capacity, engineering resources and supply chain readiness to enhance our ability to deliver critical capabilities at the speed required by our service members.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Global Events and Business Impacts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Global Conflicts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and its allies continue to face a global security environment marked by heightened tensions and instability, including threats from state and non-state actors—particularly major powers—as well as terrorist organizations, and diverse regional security challenges and political instability. Demand for defense products, services, and solutions worldwide is driven by these complex and evolving security conditions, considered in the broader context of political and socioeconomic circumstances and priorities. These events, including periods of global unrest, can affect our operations and financial performance and influence demand for our products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ongoing conflict in Ukraine, continued instability in parts of Latin America, and increasing risks across the Middle East and the Western Pacific have heightened global tensions and underscored evolving security requirements in Europe, the Middle East, Indo-Pacific, Latin America and within the U.S. In particular, the conflict involving Iran and associated regional escalation, including heightened maritime security risks and disruptions affecting commercial shipping and energy markets, has further amplified geopolitical uncertainty and the need for enhanced deterrence, integrated air and missile defense, cyber resilience, intelligence, surveillance, and reconnaissance, EW and secure communications. These developments have resulted in, and may continue to result in, increased demand for defense products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the current global security environment continues to underscore the need for strong deterrence and robust defense capabilities. We are actively evaluating both opportunities and risks associated with these conditions.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Business Environment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Revenues derived directly, as a prime contractor, or indirectly, as a subcontractor, from contracts with the U.S. government represented 82% and 80% of our total revenues for the six months ended June 30, 2026 and 2025, respectively. Our U.S. government sales are highly concentrated within our DoW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customers, which made up the overwhelming majority of our U.S. government revenue for the periods presented and are principally derived directly or indirectly from contracts with the U.S. Navy and U.S. Army, which represented 37% and 33%, respectively, of our total revenues for the six months ended June 30, 2026. Therefore, our revenue is highly correlated to changes in U.S. government spending levels, especially within the DoW. The DoW budget is the largest defense budget in the world.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Given the reliance on the U.S. government, funding for our programs is subject to a variety of factors that can affect our business, including: the President’s budget requests and procurement priorities and policies; the annual congressional budget authorization and appropriations process; and other U.S. government domestic and international priorities. U.S. government spending levels, particularly defense spending and the timing of funding, can affect our financial performance over the short and long term.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Fiscal year (“FY”) 2026 defense funding has been enacted through a combination of authorizations and full-year appropriations. The President’s FY2026 budget request (June 2025) proposed $848 billion in base (discretionary) funding and $113 billion in reconciliation (mandatory) funding. The One Big Beautiful Bill Act, signed July 4, 2025, provided more than $150 billion in mandatory national defense funding (including the $113 billion reconciliation amount) available through September 30, 2029. The FY2026 National Defense Authorization Act (“NDAA”) was signed on December 18, 2025, authorizing approximately $901 billion for defense. Following a continuing resolution signed November 12, 2025 (through January 30, 2026), Congress completed full-year FY2026 appropriations via the Consolidated Appropriations Act, 2026 (signed February 3, 2026), which included the Department of Defense Appropriations Act and provided approximately $839 billion for the DoW. Together, these actions established the FY2026 budget baseline and related multi-year mandatory resources supporting national defense priorities.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FY2027, the Administration released topline details of the President’s budget request on April 3, 2026, proposing a significantly higher level of national defense resources, including approximately $1.15 trillion in base (discretionary) funding for the national defense function and an additional $350 billion in proposed reconciliation (mandatory) funding, subject to congressional action. The FY2027 budget is proceeding through the standard congressional authorization and appropriations process, though progress has been uneven and the outcome remains uncertain. Congress is not expected to complete all FY2027 appropriations before the fiscal year begins on October 1, 2026, making one or more continuing resolutions likely and leaving some risk of a government shutdown. The timing and outcome of FY2027 enactment will continue to depend on congressional negotiations, including the resolution of topline disputes and the potential use of continuing resolutions.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Performance Assessment and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majority of our contracts, revenues are recognized using the over time, percentage of completion cost-to-cost method of accounting,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or performance-based payments.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U.S. GAAP, contract costs are charged to work in progress inventory and are expensed as revenues are recognized. The Federal Acquisition Regulation (“FAR”) and the Defense Federal Acquisition Regulation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defense contracts and subcontracts that require the submission of cost or pricing data are subject to audit, various profit and cost controls, and standard provisions for termination at the convenience of the customer. The Defense Contract Audit Agency (“DCAA”) performs these audits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behalf of the U.S. government. The DCAA has the right to perform audits on our incurred costs on cost-type or price redeterminable-type contracts on a yearly basis. Approval of an incurred cost submission can take from one to three years from the date of the submission of the contract cost.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U.S. government contracts are, by their terms, generally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Components of Operations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six months ended June 30, 2026, 86% of our revenue was derived from fixed-price contracts. This was consistent with the six months ended June 30,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flexibly priced contracts,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For the six months ended June 30, 2026 and 2025, flexibly priced contracts represented 14% of our total revenues.</w:t>
      </w:r>
    </w:p>
    <w:p>
      <w:pPr>
        <w:pStyle w:val="TextBody"/>
        <w:bidi w:val="0"/>
        <w:spacing w:lineRule="auto" w:line="288" w:before="0" w:after="180"/>
        <w:ind w:left="0" w:right="0" w:firstLine="360"/>
        <w:jc w:val="left"/>
        <w:rPr/>
      </w:pPr>
      <w:r>
        <w:rPr>
          <w:rFonts w:ascii="Helvetica;sans-serif" w:hAnsi="Helvetica;sans-serif"/>
          <w:b w:val="false"/>
          <w:color w:val="000000"/>
          <w:sz w:val="20"/>
        </w:rPr>
        <w:t>Refer to</w:t>
      </w:r>
      <w:r>
        <w:rPr>
          <w:color w:val="000000"/>
        </w:rPr>
        <w:t xml:space="preserve"> </w:t>
      </w:r>
      <w:r>
        <w:rPr>
          <w:rFonts w:ascii="Helvetica;sans-serif" w:hAnsi="Helvetica;sans-serif"/>
          <w:b w:val="false"/>
          <w:i/>
          <w:color w:val="000000"/>
          <w:sz w:val="20"/>
        </w:rPr>
        <w:t>Note 2: Revenue from Contracts with Customers</w:t>
      </w:r>
      <w:r>
        <w:rPr>
          <w:color w:val="000000"/>
        </w:rPr>
        <w:t xml:space="preserve"> </w:t>
      </w:r>
      <w:r>
        <w:rPr>
          <w:rFonts w:ascii="Helvetica;sans-serif" w:hAnsi="Helvetica;sans-serif"/>
          <w:b w:val="false"/>
          <w:color w:val="000000"/>
          <w:sz w:val="20"/>
        </w:rPr>
        <w:t>to the Consolidated Financial Statements for additional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Cost of Revenues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General and administrative (“G&amp;A”) expenses include G&amp;A expenses not included within cost of revenues such as salaries, wages and fringe benefits, facility costs and other costs related to these indirect functions. Additionally, G&amp;A expenses include company-funded independent research and development (“IR&amp;D”) costs as well as expenditures related to bid and proposal (“B&amp;P”)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discussion of operating results is intended to help the reader understand the results of operations and financial condition of the Company for the three and six months ended June 30, 2026, as compared to the three and six months ended June 30, 2025. Given the nature of our business, we believe revenue and operating earnings are most relevant to an understanding of our performance at an enterprise and segment level. Our operating cycle is longer term in nature and involves various types of production contracts and varying delivery schedules. Accordingly, operating results in a particular period may not be indicative of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tbl>
      <w:tblPr>
        <w:tblW w:w="9182" w:type="dxa"/>
        <w:jc w:val="left"/>
        <w:tblInd w:w="0" w:type="dxa"/>
        <w:tblLayout w:type="fixed"/>
        <w:tblCellMar>
          <w:top w:w="28" w:type="dxa"/>
          <w:left w:w="28" w:type="dxa"/>
          <w:bottom w:w="28" w:type="dxa"/>
          <w:right w:w="28" w:type="dxa"/>
        </w:tblCellMar>
      </w:tblPr>
      <w:tblGrid>
        <w:gridCol w:w="1364"/>
        <w:gridCol w:w="1198"/>
        <w:gridCol w:w="1203"/>
        <w:gridCol w:w="211"/>
        <w:gridCol w:w="646"/>
        <w:gridCol w:w="286"/>
        <w:gridCol w:w="109"/>
        <w:gridCol w:w="109"/>
        <w:gridCol w:w="109"/>
        <w:gridCol w:w="211"/>
        <w:gridCol w:w="646"/>
        <w:gridCol w:w="286"/>
        <w:gridCol w:w="109"/>
        <w:gridCol w:w="109"/>
        <w:gridCol w:w="109"/>
        <w:gridCol w:w="211"/>
        <w:gridCol w:w="541"/>
        <w:gridCol w:w="421"/>
        <w:gridCol w:w="109"/>
        <w:gridCol w:w="109"/>
        <w:gridCol w:w="109"/>
        <w:gridCol w:w="322"/>
        <w:gridCol w:w="324"/>
        <w:gridCol w:w="331"/>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Basic EPS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Backlog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Bookings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27.2 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182" w:type="dxa"/>
        <w:jc w:val="left"/>
        <w:tblInd w:w="0" w:type="dxa"/>
        <w:tblLayout w:type="fixed"/>
        <w:tblCellMar>
          <w:top w:w="28" w:type="dxa"/>
          <w:left w:w="28" w:type="dxa"/>
          <w:bottom w:w="28" w:type="dxa"/>
          <w:right w:w="28" w:type="dxa"/>
        </w:tblCellMar>
      </w:tblPr>
      <w:tblGrid>
        <w:gridCol w:w="1364"/>
        <w:gridCol w:w="1198"/>
        <w:gridCol w:w="1203"/>
        <w:gridCol w:w="211"/>
        <w:gridCol w:w="646"/>
        <w:gridCol w:w="286"/>
        <w:gridCol w:w="109"/>
        <w:gridCol w:w="109"/>
        <w:gridCol w:w="109"/>
        <w:gridCol w:w="211"/>
        <w:gridCol w:w="646"/>
        <w:gridCol w:w="286"/>
        <w:gridCol w:w="109"/>
        <w:gridCol w:w="109"/>
        <w:gridCol w:w="109"/>
        <w:gridCol w:w="211"/>
        <w:gridCol w:w="541"/>
        <w:gridCol w:w="421"/>
        <w:gridCol w:w="109"/>
        <w:gridCol w:w="109"/>
        <w:gridCol w:w="109"/>
        <w:gridCol w:w="322"/>
        <w:gridCol w:w="324"/>
        <w:gridCol w:w="331"/>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230 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166.7 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300.0 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Basic EPS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Backlog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Bookings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revenue generation of $913 million for the three months ended June 30, 2026 represents an increase of $84 million, or 10.1%, as compared to the three months ended June 30, 2025. The revenue increase is primarily attributed to the conversion of our funded backlog along with higher demand across each of our operating segments. This is highlighted by increased output within our electric power and propulsion and force protection program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revenue generation of $1,759 million for the six months ended June 30, 2026 represents an increase of $131 million, or 8.0%, as compared to the six months ended June 30, 2025. The revenue increase is primarily attributed to conversion of our funded backlog along with higher demand across each of our operating segments. This is highlighted by our efforts within advanced sensing, electric power and propulsion and force protection activities. See </w:t>
      </w:r>
      <w:r>
        <w:rPr>
          <w:color w:val="000000"/>
        </w:rPr>
        <w:t>“—</w:t>
      </w:r>
      <w:r>
        <w:rPr>
          <w:rFonts w:ascii="Helvetica;sans-serif" w:hAnsi="Helvetica;sans-serif"/>
          <w:b w:val="false"/>
          <w:i/>
          <w:color w:val="000000"/>
          <w:sz w:val="20"/>
        </w:rPr>
        <w:t>Review of Operating Segments”</w:t>
      </w:r>
      <w:r>
        <w:rPr>
          <w:color w:val="000000"/>
        </w:rPr>
        <w:t xml:space="preserve"> </w:t>
      </w:r>
      <w:r>
        <w:rPr>
          <w:rFonts w:ascii="Helvetica;sans-serif" w:hAnsi="Helvetica;sans-serif"/>
          <w:b w:val="false"/>
          <w:color w:val="000000"/>
          <w:sz w:val="20"/>
        </w:rPr>
        <w:t>below for more detail.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Cost of Revenues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revenues increased by $44 million, or 7.0%, to $676 million for the three months ended June 30, 2026, as compared to $632 million for the three months ended June 30, 2025. The cost of revenues increase was due to the increased revenue contribution realized during the period. This increase was offset in part by improved program performance and favorable program mix across both of our operating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revenues increased by $60 million, or 4.8%, to $1,310 million for the six months ended June 30, 2026, as compared to $1,250 million for the six months ended June 30, 2025. The cost of revenues increase was due to the increased revenue contribution realized during the period. This increase was offset in part by improved program performance and favorable program mix across both of our operating segments.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Gross Profit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Gross profit increased by $40 million, or 20.3%, to $237 million for the three months ended June 30, 2026 and increased by $71 million, or 18.8%, to $449 million for the six months ended June 30, 2026, as compared to the same periods in the prior year, resulting from the revenue and cost of revenues trends noted above. The gross profit increases, favorable mix and overall program performance drove an expansion of 220 basis points and 230 basis points in our gross margin for the three and six months ended June 30, 2026, respectively.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G&amp;A expenses increased by $8 million, or 6.6%, for the three months ended June 30, 2026, as compared to the three months ended June 30, 2025, primarily due to increased IR&amp;D expenditures and costs related to bid and proposal efforts for new contractual pursuits.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G&amp;A expenses increased by $21 million, or 8.8%, for the six months ended June 30, 2026, as compared to the six months ended June 30, 2025, primarily due to increased IR&amp;D expenditures and costs related to bid and proposal efforts for new contractual pursuits.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Amortization of Acquired Intangible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 was consistent for the three and six months ended June 30, 2026, as compared to the three and six months ended June 30, 2025.</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Earnings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Operating earnings increased by $32 million to $102 million for the three months ended June 30, 2026 and increased by $50 million to $179 million for the six months ended June 30, 2026, as compared to the same periods in the prior year. The increases were driven by the higher gross profit offset in part by the G&amp;A expense increases both noted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Interest Income (Expense),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Net interest income was $2 million for the three and six months ended June 30, 2026, compared to net interest expense of $2 million and $3 million for the three and six months ended June 30, 2025, respectively. The change is attributed to increased interest income as a result of higher cash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and reduced interest expense with the repayment and termination of the 2022 Term Loan A in January 2026.</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Other,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net increased $3 million for the three and six months ended June 30, 2026, as compared to the same periods in the prior year primarily due to foreign exchange rate impacts.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Earnings Before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Earnings before taxes increased by $33 million to $100 million for the three months ended June 30, 2026 and increased by $52 million to $177 million for the six months ended June 30, 2026, as compared to the same periods in the prior year. This was primarily due to the increase in operating earnings and change in net interest income (expense) as noted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Income Tax Provision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Income tax provision increased by $1 million and $8 million for the three and six months ended June 30, 2026, respectively, as compared to the same periods in the prior year. This was primarily attributable to an increase in earnings before taxes and changes in our effective tax rate for the period. For the three month period ended June 30, 2026, the income tax provision increase was largely offset by a reduction in our overall effective tax rate for the period. For the six month period ended June 30, 2026 our effective tax rate was largely in line with prior year levels. Our effective tax rate was 14.0% and 16.4% for the three and six months ended June 30, 2026, respectively, compared to 19.4% and 16.8% for the three and six months ended June 30, 2025, respectively.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Net Earnings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earnings increased by $32 million to $86 million for the three months ended June 30, 2026 and increased by $44 million to $148 million for the six months ended June 30, 2026, as compared to the same periods in the prior year. This was driven by an increase in earnings before taxes coupled with the changes in our effective tax rate as noted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Backlog and 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backlog includes the following components:</w:t>
      </w:r>
    </w:p>
    <w:p>
      <w:pPr>
        <w:pStyle w:val="TextBody"/>
        <w:bidi w:val="0"/>
        <w:spacing w:lineRule="auto" w:line="288" w:before="0" w:after="180"/>
        <w:ind w:left="0" w:right="0" w:hanging="360"/>
        <w:jc w:val="left"/>
        <w:rPr>
          <w:rFonts w:ascii="Helvetica;sans-serif" w:hAnsi="Helvetica;sans-serif"/>
          <w:b w:val="false"/>
          <w:color w:val="000000"/>
          <w:sz w:val="20"/>
        </w:rPr>
      </w:pPr>
      <w:r>
        <w:rPr>
          <w:rFonts w:ascii="Helvetica;sans-serif" w:hAnsi="Helvetica;sans-serif"/>
          <w:b w:val="false"/>
          <w:color w:val="000000"/>
          <w:sz w:val="20"/>
        </w:rPr>
        <w:t>(1)Funded - Funded backlog represents the revenue value of orders for products and services under existing contracts for which funding is appropriated or otherwise authorized less revenue previously recognized on these contracts.</w:t>
      </w:r>
    </w:p>
    <w:p>
      <w:pPr>
        <w:pStyle w:val="TextBody"/>
        <w:bidi w:val="0"/>
        <w:spacing w:lineRule="auto" w:line="288" w:before="0" w:after="180"/>
        <w:ind w:left="0" w:right="0" w:hanging="360"/>
        <w:jc w:val="left"/>
        <w:rPr>
          <w:rFonts w:ascii="Helvetica;sans-serif" w:hAnsi="Helvetica;sans-serif"/>
          <w:b w:val="false"/>
          <w:color w:val="000000"/>
          <w:sz w:val="20"/>
        </w:rPr>
      </w:pPr>
      <w:r>
        <w:rPr>
          <w:rFonts w:ascii="Helvetica;sans-serif" w:hAnsi="Helvetica;sans-serif"/>
          <w:b w:val="false"/>
          <w:color w:val="000000"/>
          <w:sz w:val="20"/>
        </w:rPr>
        <w:t xml:space="preserve">(2)Unfunded - Unfunded backlog represents the revenue value of firm orders for products and services under existing contracts for which funding has not yet been appropriated less funding previously recognized on these contracts.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value of our backlog, incorporating both funded and unfunded components:</w:t>
      </w:r>
    </w:p>
    <w:tbl>
      <w:tblPr>
        <w:tblW w:w="3869" w:type="dxa"/>
        <w:jc w:val="left"/>
        <w:tblInd w:w="0" w:type="dxa"/>
        <w:tblLayout w:type="fixed"/>
        <w:tblCellMar>
          <w:top w:w="28" w:type="dxa"/>
          <w:left w:w="28" w:type="dxa"/>
          <w:bottom w:w="28" w:type="dxa"/>
          <w:right w:w="28" w:type="dxa"/>
        </w:tblCellMar>
      </w:tblPr>
      <w:tblGrid>
        <w:gridCol w:w="537"/>
        <w:gridCol w:w="473"/>
        <w:gridCol w:w="475"/>
        <w:gridCol w:w="255"/>
        <w:gridCol w:w="783"/>
        <w:gridCol w:w="132"/>
        <w:gridCol w:w="253"/>
        <w:gridCol w:w="776"/>
        <w:gridCol w:w="185"/>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June 30,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Unfunded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Total backlog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8,787 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8,366 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Backlog increased by $421 million to $8,787 million as of June 30, 2026, from $8,366 million as of June 30, 2025. The backlog increase was driven primarily by the receipt of new awards within our IMS segment which realized bookings in excess of revenue for the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define bookings as the total value of contract awards received from the U.S. government for which it has appropriated funds and legally obligated such funds to the Company through a contract or purchase order, plus the funded value of contract awards and orders received from customers other than the U.S. government.</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Bookings for the three months ended June 30, 2026 increased to $1,085 million, as compared to $853 million for the three months ended June 30, 2025. Bookings for the six months ended June 30, 2026 increased to $1,970 million, as compared to $1,844 million for the six months ended June 30, 2025. The increase in new orders for the six months ended June 30, 2026 was driven within our IMS segment and offset in part by a reduction in new orders within our ASC segment. See </w:t>
      </w:r>
      <w:r>
        <w:rPr>
          <w:color w:val="000000"/>
        </w:rPr>
        <w:t>“—</w:t>
      </w:r>
      <w:r>
        <w:rPr>
          <w:rFonts w:ascii="Helvetica;sans-serif" w:hAnsi="Helvetica;sans-serif"/>
          <w:b w:val="false"/>
          <w:i/>
          <w:color w:val="000000"/>
          <w:sz w:val="20"/>
        </w:rPr>
        <w:t>Review of Operating Segments”</w:t>
      </w:r>
      <w:r>
        <w:rPr>
          <w:color w:val="000000"/>
        </w:rPr>
        <w:t xml:space="preserve"> </w:t>
      </w:r>
      <w:r>
        <w:rPr>
          <w:rFonts w:ascii="Helvetica;sans-serif" w:hAnsi="Helvetica;sans-serif"/>
          <w:b w:val="false"/>
          <w:color w:val="000000"/>
          <w:sz w:val="20"/>
        </w:rPr>
        <w:t>below for more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Factors Impacting Our Performance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U.S. Government Spending and Federal Budget Uncertainty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Changes in the volume and relative mix of U.S. and allied government spending as well as areas of spending growth, including due to the evolution of warfare,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with respect to our and third parties’ information networks and related systems, AI, connected communities and physical infrastructure (for example, the potential impacts of the Russia / Ukraine conflict and conflicts involving the Middle East region, including Israel). Cost-cutting and efficiency initiatives, increasing nationalization efforts, current and future budget restrictions, spending cuts and other efforts to reduce government spending and shifts in overall priorities could cause our government customers to reduce or delay funding or invest appropriated funds on a less consistent basis or not at all, and demand for our solutions or services could diminish. Existing contracts could also be canceled due to changes in need and prioritization.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pStyle w:val="TextBody"/>
        <w:bidi w:val="0"/>
        <w:spacing w:lineRule="auto" w:line="288" w:before="0" w:after="180"/>
        <w:ind w:left="0" w:right="0" w:firstLine="360"/>
        <w:jc w:val="left"/>
        <w:rPr/>
      </w:pPr>
      <w:r>
        <w:rPr>
          <w:rFonts w:ascii="Helvetica;sans-serif" w:hAnsi="Helvetica;sans-serif"/>
          <w:b w:val="false"/>
          <w:color w:val="000000"/>
          <w:sz w:val="20"/>
        </w:rPr>
        <w:t>There is also uncertainty around the timing, extent, nature and effect of Congressional and other U.S. government actions to address budgetary constraints, caps on certain discretionary budgets, and the ability of Congress to determine how to allocate the available budget authority and pass appropriations bills to fund U.S. government departments and agencies. Additionally, budget deficits and the growing U.S. national debt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Part I, Item 1A,</w:t>
      </w:r>
      <w:r>
        <w:rPr>
          <w:color w:val="000000"/>
        </w:rPr>
        <w:t xml:space="preserve"> “</w:t>
      </w:r>
      <w:r>
        <w:rPr>
          <w:rFonts w:ascii="Helvetica;sans-serif" w:hAnsi="Helvetica;sans-serif"/>
          <w:b w:val="false"/>
          <w:i/>
          <w:color w:val="000000"/>
          <w:sz w:val="20"/>
        </w:rPr>
        <w:t>Risk Factors—Risks Related to Our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r>
        <w:rPr>
          <w:color w:val="000000"/>
        </w:rPr>
        <w:t xml:space="preserve"> </w:t>
      </w:r>
      <w:r>
        <w:rPr>
          <w:rFonts w:ascii="Helvetica;sans-serif" w:hAnsi="Helvetica;sans-serif"/>
          <w:b w:val="false"/>
          <w:color w:val="000000"/>
          <w:sz w:val="20"/>
        </w:rPr>
        <w:t xml:space="preserve">and Part II, Item 7, </w:t>
      </w:r>
      <w:r>
        <w:rPr>
          <w:color w:val="000000"/>
        </w:rPr>
        <w:t>“</w:t>
      </w:r>
      <w:r>
        <w:rPr>
          <w:rFonts w:ascii="Helvetica;sans-serif" w:hAnsi="Helvetica;sans-serif"/>
          <w:b w:val="false"/>
          <w:i/>
          <w:color w:val="000000"/>
          <w:sz w:val="20"/>
        </w:rPr>
        <w:t>Management’s Discussion and Analysis of Financial Condition and Results of Operations—Business Overview and Considerations—Business Environment”</w:t>
      </w:r>
      <w:r>
        <w:rPr>
          <w:color w:val="000000"/>
        </w:rPr>
        <w:t xml:space="preserve"> </w:t>
      </w:r>
      <w:r>
        <w:rPr>
          <w:rFonts w:ascii="Helvetica;sans-serif" w:hAnsi="Helvetica;sans-serif"/>
          <w:b w:val="false"/>
          <w:color w:val="000000"/>
          <w:sz w:val="20"/>
        </w:rPr>
        <w:t xml:space="preserve">in our Annual Report on Form 10-K for the year ended December 31, 2025, and Part I, Item 2, </w:t>
      </w:r>
      <w:r>
        <w:rPr>
          <w:color w:val="000000"/>
        </w:rPr>
        <w:t>“</w:t>
      </w:r>
      <w:r>
        <w:rPr>
          <w:rFonts w:ascii="Helvetica;sans-serif" w:hAnsi="Helvetica;sans-serif"/>
          <w:b w:val="false"/>
          <w:i/>
          <w:color w:val="000000"/>
          <w:sz w:val="20"/>
        </w:rPr>
        <w:t xml:space="preserve">Management’s Discussion and Analysis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i/>
          <w:color w:val="000000"/>
          <w:sz w:val="20"/>
        </w:rPr>
        <w:t>Condition and Results of Operations—Business Overview and Considerations—Business Environment”</w:t>
      </w:r>
      <w:r>
        <w:rPr>
          <w:color w:val="000000"/>
        </w:rPr>
        <w:t xml:space="preserve"> </w:t>
      </w:r>
      <w:r>
        <w:rPr>
          <w:rFonts w:ascii="Helvetica;sans-serif" w:hAnsi="Helvetica;sans-serif"/>
          <w:b w:val="false"/>
          <w:color w:val="000000"/>
          <w:sz w:val="20"/>
        </w:rPr>
        <w:t>in this Quarterly Report for further details on U.S. government spending’s impact on our business.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Operational Performance on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While the Company provides warranties on certain contracts, we typically do not provide for services beyond standard assurances and therefore do not consider warranties to be separate performance obligations.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Typically, we enter into three types of contracts: fixed-price contracts, cost-plus contracts and time-and-materials (“T&amp;M”) contracts. The majority of our total revenues are derived from fixed-price contracts; refer to the revenue disaggregation disclosures in </w:t>
      </w:r>
      <w:r>
        <w:rPr>
          <w:rFonts w:ascii="Helvetica;sans-serif" w:hAnsi="Helvetica;sans-serif"/>
          <w:b w:val="false"/>
          <w:i/>
          <w:color w:val="000000"/>
          <w:sz w:val="20"/>
        </w:rPr>
        <w:t xml:space="preserve">Note 2: Revenue from Contracts with Customers </w:t>
      </w:r>
      <w:r>
        <w:rPr>
          <w:rFonts w:ascii="Helvetica;sans-serif" w:hAnsi="Helvetica;sans-serif"/>
          <w:b w:val="false"/>
          <w:color w:val="000000"/>
          <w:sz w:val="20"/>
        </w:rPr>
        <w:t>to the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fixed-price contracts, customers agree to pay a fixed amount, negotiated in advance for a specified scope of work.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from contracts with customers is recognized when the performance obligations are satisfied through the transfer of control over the good or service to the customer, which may occur either over time or at a point in time.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After establishing the estimated total cost at completion, we follow a standard Estimate at Completion (“EAC”) process in which we review the progress and performance on our ongoing contracts.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following represents the net impact that changes in our estimates, particularly those regarding our fixed-price programs, have had on our revenues for the periods presented: </w:t>
      </w:r>
    </w:p>
    <w:tbl>
      <w:tblPr>
        <w:tblW w:w="6843" w:type="dxa"/>
        <w:jc w:val="left"/>
        <w:tblInd w:w="0" w:type="dxa"/>
        <w:tblLayout w:type="fixed"/>
        <w:tblCellMar>
          <w:top w:w="28" w:type="dxa"/>
          <w:left w:w="28" w:type="dxa"/>
          <w:bottom w:w="28" w:type="dxa"/>
          <w:right w:w="28" w:type="dxa"/>
        </w:tblCellMar>
      </w:tblPr>
      <w:tblGrid>
        <w:gridCol w:w="640"/>
        <w:gridCol w:w="564"/>
        <w:gridCol w:w="566"/>
        <w:gridCol w:w="246"/>
        <w:gridCol w:w="440"/>
        <w:gridCol w:w="334"/>
        <w:gridCol w:w="127"/>
        <w:gridCol w:w="127"/>
        <w:gridCol w:w="127"/>
        <w:gridCol w:w="246"/>
        <w:gridCol w:w="475"/>
        <w:gridCol w:w="334"/>
        <w:gridCol w:w="109"/>
        <w:gridCol w:w="109"/>
        <w:gridCol w:w="109"/>
        <w:gridCol w:w="233"/>
        <w:gridCol w:w="416"/>
        <w:gridCol w:w="316"/>
        <w:gridCol w:w="120"/>
        <w:gridCol w:w="120"/>
        <w:gridCol w:w="120"/>
        <w:gridCol w:w="233"/>
        <w:gridCol w:w="366"/>
        <w:gridCol w:w="366"/>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the timing of our cash flows is impacted by the timing of achievement of billable milestones on contracts. Historically, this has resulted and could continue to result in fluctuations in working capital levels and quarterly cash provided by (used in) operating activities results. As a result of such quarterly fluctuations in cash flow results, we believe that quarter-to-quarter comparisons of our results of operations may not necessarily be meaningful and should not be relied upon as indicators of future performance.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Regulations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Increased audit, review, investigation and general scrutiny by U.S. government agencies of performance under government contracts and compliance with the terms of those contracts and applicable laws, including executive orders,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DoW and the U.S. intelligence community, including those related to cybersecurity, could impact our ability to perform in the markets we serve.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International Sales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International revenue, including foreign military sales, foreign military financing, and direct commercial sales, accounted for approximately 12% and 8% of our revenue for the six months ended June 30, 2026 and 2025, respectively. The increase in international sales is due in part to the global demand for our tactical radars used in counter drone and short-range air defense applications.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remain subject to the spending levels, pace and priorities of the U.S. government as well as international governments and commercial customers, and to general economic conditions that could adversely affect us, our customers and our suppliers.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six months ended June 30, 2026.</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Acquisitions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Review of Operating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is a discussion of operating results for each of our operating segments. We have elected to use revenue, operating earnings, operating margin, and bookings to provide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 xml:space="preserve">information on our segment performance. Additional information regarding our segments can be found in </w:t>
      </w:r>
      <w:r>
        <w:rPr>
          <w:rFonts w:ascii="Helvetica;sans-serif" w:hAnsi="Helvetica;sans-serif"/>
          <w:b w:val="false"/>
          <w:i/>
          <w:color w:val="000000"/>
          <w:sz w:val="20"/>
        </w:rPr>
        <w:t xml:space="preserve">Note 14: Segment Information </w:t>
      </w:r>
      <w:r>
        <w:rPr>
          <w:rFonts w:ascii="Helvetica;sans-serif" w:hAnsi="Helvetica;sans-serif"/>
          <w:b w:val="false"/>
          <w:color w:val="000000"/>
          <w:sz w:val="20"/>
        </w:rPr>
        <w:t>to the Consolidated Financial Statements.</w:t>
      </w:r>
    </w:p>
    <w:tbl>
      <w:tblPr>
        <w:tblW w:w="7168" w:type="dxa"/>
        <w:jc w:val="left"/>
        <w:tblInd w:w="0" w:type="dxa"/>
        <w:tblLayout w:type="fixed"/>
        <w:tblCellMar>
          <w:top w:w="28" w:type="dxa"/>
          <w:left w:w="28" w:type="dxa"/>
          <w:bottom w:w="28" w:type="dxa"/>
          <w:right w:w="28" w:type="dxa"/>
        </w:tblCellMar>
      </w:tblPr>
      <w:tblGrid>
        <w:gridCol w:w="824"/>
        <w:gridCol w:w="726"/>
        <w:gridCol w:w="729"/>
        <w:gridCol w:w="212"/>
        <w:gridCol w:w="649"/>
        <w:gridCol w:w="287"/>
        <w:gridCol w:w="109"/>
        <w:gridCol w:w="109"/>
        <w:gridCol w:w="109"/>
        <w:gridCol w:w="212"/>
        <w:gridCol w:w="483"/>
        <w:gridCol w:w="287"/>
        <w:gridCol w:w="109"/>
        <w:gridCol w:w="109"/>
        <w:gridCol w:w="109"/>
        <w:gridCol w:w="211"/>
        <w:gridCol w:w="481"/>
        <w:gridCol w:w="109"/>
        <w:gridCol w:w="109"/>
        <w:gridCol w:w="109"/>
        <w:gridCol w:w="109"/>
        <w:gridCol w:w="322"/>
        <w:gridCol w:w="324"/>
        <w:gridCol w:w="331"/>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Revenues: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133.3 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earnings: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32.4 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60.6 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earnings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margin:</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Bookings: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bookings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1,085 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27.2 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7384" w:type="dxa"/>
        <w:jc w:val="left"/>
        <w:tblInd w:w="0" w:type="dxa"/>
        <w:tblLayout w:type="fixed"/>
        <w:tblCellMar>
          <w:top w:w="28" w:type="dxa"/>
          <w:left w:w="28" w:type="dxa"/>
          <w:bottom w:w="28" w:type="dxa"/>
          <w:right w:w="28" w:type="dxa"/>
        </w:tblCellMar>
      </w:tblPr>
      <w:tblGrid>
        <w:gridCol w:w="824"/>
        <w:gridCol w:w="726"/>
        <w:gridCol w:w="72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323"/>
        <w:gridCol w:w="323"/>
        <w:gridCol w:w="331"/>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Revenues: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earnings: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43.5 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34.3 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margin:</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Bookings: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bookings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1,844 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ASC</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ASC segment reported revenue of $587 million for the three months ended June 30, 2026, an increase of 8.3%, or $45 million, from the three months ended June 30, 2025. The revenue increase is attributed to our advanced sensing and tactical radars used in space based, force protection and counter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drone applications, reflecting execution of our backlog programs coupled with increased customer demand driven by the elevated global threat environment.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ASC segment reported revenue of $1,146 million for the six months ended June 30, 2026, an increase of 8.8%, or $93 million, from the six months ended June 30, 2025. The revenue increase is attributed to our advanced sensing and tactical radars used in space based, force protection and counter drone applications, reflecting execution of our backlog programs coupled with increased customer demand driven by the elevated global threat environment.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Operating Earnings and Operating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three months ended June 30, 2026, operating earnings increased by $12 million, or 32.4%, to $49 million for the three months ended June 30, 2026, from $37 million for the three months ended June 30, 2025. The increase was driven by increased revenue contribution, favorable program mix and better program execution. The net of these impacts drove operating margin to 8.3% for the three months ended June 30, 2026, compared to the 6.8% realized during the three months ended June 30,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six months ended June 30, 2026, operating earnings increased by $27 million, or 43.5%, to $89 million for the six months ended June 30, 2026, from $62 million for the six months ended June 30, 2025. The increase was driven by increased revenue contribution, favorable program mix and better program execution. The net of these impacts drove operating margin to 7.8% for the six months ended June 30, 2026, compared to the 5.9% realized during the six months ended June 30, 2025.</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three months ended June 30, 2026, bookings increased $132 million, or 23.6%, from the three months ended June 30, 2025 to $691 million. The increase in new awards is largely attributed to increased orders for our tactical radar and infrared sensing programs. This was offset in part by a reduction in naval computing awards realized during the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six months ended June 30, 2026, bookings decreased $108 million, or 8.8%, from the six months ended June 30, 2025 to $1,120 million. The decrease in new awards is largely attributed to a large multi-year award received in the prior year for next generation ground vehicle sensing. This reduction was offset in part by demand for our tactical radar sensor programs.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IMS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IMS segment revenue increased by $43 million, or 14.8%, to $333 million for the three months ended June 30, 2026, from $290 million for the three months ended June 30, 2025, which is attributed to increased revenue generated from our naval power and force protection related programs during the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IMS segment revenue increased by $47 million, or 8.1%, to $628 million for the six months ended June 30, 2026, from $581 million for the six months ended June 30, 2025, which is attributed to increased revenue generated from our naval power programs.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Operating Earnings and Operating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three months ended June 30, 2026, operating earnings increased by $20 million, or 60.6%, to $53 million for the three months ended June 30, 2026, from $33 million for the three months ended June 30, 2025. The increase for the period is attributed to continued program improvement within both land and naval programs coupled with the benefits of operational leverage generated from the increased volume noted above, resulting in a net operating margin increase to 15.9%, compared to the 11.4% realized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six months ended June 30, 2026, operating earnings increased by $23 million, or 34.3%, to $90 million for the six months ended June 30, 2026, from $67 million for the six months ended June 30, 2025. The increase for the period is attributed to improved performance on both land and naval programs coupled with the benefits of operational leverage generated from the increased volume noted above, resulting in a net operating margin increase to 14.3%, compared to the 11.5% realized during the six months ended June 30, 2025.</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three months ended June 30, 2026, bookings increased by $100 million, or 34.0%, from the three months ended June 30, 2025 to $394 million. The increase for the three months ended June 30, 2026 is largely attributed to increased demand for our force protection efforts as well as funding received for our naval power and propulsion efforts.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six months ended June 30, 2026, bookings increased by $234 million, or 38.0%, from the six months ended June 30, 2025 to $850 million. The increase for the six months ended June 30, 2026 is largely attributed to funding received for our naval power and propulsion efforts as well as increased demand for our force protection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0" w:after="180"/>
        <w:ind w:left="0" w:right="0" w:firstLine="360"/>
        <w:jc w:val="left"/>
        <w:rPr/>
      </w:pPr>
      <w:r>
        <w:rPr>
          <w:rFonts w:ascii="Helvetica;sans-serif" w:hAnsi="Helvetica;sans-serif"/>
          <w:b w:val="false"/>
          <w:color w:val="000000"/>
          <w:sz w:val="20"/>
        </w:rPr>
        <w:t>We endeavor to ensure the most efficient conversion of operating earnings into cash for deployment in our business and to maximize stockholder value through cash deployment activities. In addition to our cash position, we use various financial measures to assist in capital deployment decision-making, including cash provided by (used in) operating activities. We believe that the combination of our existing cash, access to credit facilities as described in</w:t>
      </w:r>
      <w:r>
        <w:rPr>
          <w:color w:val="000000"/>
        </w:rPr>
        <w:t xml:space="preserve"> </w:t>
      </w:r>
      <w:r>
        <w:rPr>
          <w:rFonts w:ascii="Helvetica;sans-serif" w:hAnsi="Helvetica;sans-serif"/>
          <w:b w:val="false"/>
          <w:i/>
          <w:color w:val="000000"/>
          <w:sz w:val="20"/>
        </w:rPr>
        <w:t>Note 10: Debt</w:t>
      </w:r>
      <w:r>
        <w:rPr>
          <w:color w:val="000000"/>
        </w:rPr>
        <w:t xml:space="preserve"> </w:t>
      </w:r>
      <w:r>
        <w:rPr>
          <w:rFonts w:ascii="Helvetica;sans-serif" w:hAnsi="Helvetica;sans-serif"/>
          <w:b w:val="false"/>
          <w:color w:val="000000"/>
          <w:sz w:val="20"/>
        </w:rPr>
        <w:t>to the Consolidated Financial Statements, 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June 30, 2026, was $270 million compared to $647 million as of December 31,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presented:</w:t>
      </w:r>
    </w:p>
    <w:tbl>
      <w:tblPr>
        <w:tblW w:w="7902" w:type="dxa"/>
        <w:jc w:val="left"/>
        <w:tblInd w:w="0" w:type="dxa"/>
        <w:tblLayout w:type="fixed"/>
        <w:tblCellMar>
          <w:top w:w="28" w:type="dxa"/>
          <w:left w:w="28" w:type="dxa"/>
          <w:bottom w:w="28" w:type="dxa"/>
          <w:right w:w="28" w:type="dxa"/>
        </w:tblCellMar>
      </w:tblPr>
      <w:tblGrid>
        <w:gridCol w:w="2029"/>
        <w:gridCol w:w="1786"/>
        <w:gridCol w:w="1795"/>
        <w:gridCol w:w="231"/>
        <w:gridCol w:w="593"/>
        <w:gridCol w:w="119"/>
        <w:gridCol w:w="119"/>
        <w:gridCol w:w="119"/>
        <w:gridCol w:w="119"/>
        <w:gridCol w:w="231"/>
        <w:gridCol w:w="593"/>
        <w:gridCol w:w="168"/>
      </w:tblGrid>
      <w:tr>
        <w:trPr/>
        <w:tc>
          <w:tcPr>
            <w:tcW w:w="202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decrease in cash and cash equivalents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Cash usage related to operating activities decreased by $135 million to $31 million for the six months ended June 30, 2026, from $166 million for the six months ended June 30, 2025. This was primarily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increased earnings and lower cash used to fund working capital for the six months ended June 30, 2026 when compared to the six months ended June 30, 2025.</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Investing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 decreased by $2 million for the six months ended June 30, 2026 when compared to the six months ended June 30, 2025, primarily due to slightly lower capital expenditures.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Financing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 for the six months ended June 30, 2026 was $288 million, compared to $94 million for the six months ended June 30, 2025. The change was primarily due to the repayment and termination of the 2022 Term Loan A in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policies and estimates from those discussed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Equity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currently have limited risk related to fluctuations in marketable securities. Outside of pension assets, the only investments the Company holds are overnight money market accounts. Fluctuations are unlikely and would have limited impact on the financial statements of the Company.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Interest Rate Risk</w:t>
      </w:r>
    </w:p>
    <w:p>
      <w:pPr>
        <w:pStyle w:val="TextBody"/>
        <w:bidi w:val="0"/>
        <w:spacing w:lineRule="auto" w:line="288" w:before="0" w:after="180"/>
        <w:ind w:left="0" w:right="0" w:firstLine="360"/>
        <w:jc w:val="left"/>
        <w:rPr/>
      </w:pPr>
      <w:r>
        <w:rPr>
          <w:rFonts w:ascii="Helvetica;sans-serif" w:hAnsi="Helvetica;sans-serif"/>
          <w:b w:val="false"/>
          <w:color w:val="000000"/>
          <w:sz w:val="20"/>
        </w:rPr>
        <w:t>We are exposed to interest rate risk on variable rate borrowings under our 2026 Revolving Credit Facility, which had no amounts outstanding, as of June 30, 2026. See</w:t>
      </w:r>
      <w:r>
        <w:rPr>
          <w:color w:val="000000"/>
        </w:rPr>
        <w:t xml:space="preserve"> </w:t>
      </w:r>
      <w:r>
        <w:rPr>
          <w:rFonts w:ascii="Helvetica;sans-serif" w:hAnsi="Helvetica;sans-serif"/>
          <w:b w:val="false"/>
          <w:i/>
          <w:color w:val="000000"/>
          <w:sz w:val="20"/>
        </w:rPr>
        <w:t xml:space="preserve">Note 10: Debt </w:t>
      </w:r>
      <w:r>
        <w:rPr>
          <w:rFonts w:ascii="Helvetica;sans-serif" w:hAnsi="Helvetica;sans-serif"/>
          <w:b w:val="false"/>
          <w:color w:val="000000"/>
          <w:sz w:val="20"/>
        </w:rPr>
        <w:t>to the Consolidated Financial Statements for additional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Foreign Currency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A 10% fluctuation in exchange rates would not have a material impact on our financial statements. We do not enter into or issue derivative instruments for trading purposes.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Inflation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experienced inflationary pressures to our supply chain costs, including those associated with micro-electronics, commodities (e.g., metals), and others. These costs have impacted our profitability. Bids for longer-term fixed-price contracts typically include assumptions for labor and other cost escalations in amounts that have been sufficient to cover cost increases over the period of performance. However, these costs could rise further and may not be mitigated. As a result, they could affect our financial results negatively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Evaluation of Disclosure Controls and Procedures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Under the supervision and with the participation of our management, including our principal executive officer and principal financial officer, we conducted an evaluation of the effectiveness of our disclosure controls and procedures as of the end of the quarterly period ended June 30, 2026, as such term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defined in Rules 13a-15(e) and 15d-15(e) under the Securities Exchange Act of 1934, as amended. Based on this evaluation, our principal executive officer and principal financial officer have concluded that our disclosure controls and procedures were effective as of June 30, 2026.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Changes in Internal Control Over Financial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was no change in our internal control over financial reporting that occurred during the quarterly period ended June 30, 2026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For information relating to legal proceedings, see </w:t>
      </w:r>
      <w:r>
        <w:rPr>
          <w:rFonts w:ascii="Helvetica;sans-serif" w:hAnsi="Helvetica;sans-serif"/>
          <w:b w:val="false"/>
          <w:i/>
          <w:color w:val="000000"/>
          <w:sz w:val="20"/>
        </w:rPr>
        <w:t>Note 12: Commitments and Contingencies</w:t>
      </w:r>
      <w:r>
        <w:rPr>
          <w:color w:val="000000"/>
        </w:rPr>
        <w:t xml:space="preserve"> </w:t>
      </w:r>
      <w:r>
        <w:rPr>
          <w:rFonts w:ascii="Helvetica;sans-serif" w:hAnsi="Helvetica;sans-serif"/>
          <w:b w:val="false"/>
          <w:color w:val="000000"/>
          <w:sz w:val="20"/>
        </w:rPr>
        <w:t>to the Consolidated Financial Statements in 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the date of this Quarterly Report, there have been no material changes to the risk factors discussed under “Risk Factors” in Part I, Item 1A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repurchases of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641"/>
        <w:gridCol w:w="565"/>
        <w:gridCol w:w="569"/>
        <w:gridCol w:w="109"/>
        <w:gridCol w:w="109"/>
        <w:gridCol w:w="109"/>
        <w:gridCol w:w="646"/>
        <w:gridCol w:w="608"/>
        <w:gridCol w:w="611"/>
        <w:gridCol w:w="109"/>
        <w:gridCol w:w="109"/>
        <w:gridCol w:w="109"/>
        <w:gridCol w:w="382"/>
        <w:gridCol w:w="1173"/>
        <w:gridCol w:w="197"/>
        <w:gridCol w:w="109"/>
        <w:gridCol w:w="109"/>
        <w:gridCol w:w="109"/>
        <w:gridCol w:w="454"/>
        <w:gridCol w:w="454"/>
        <w:gridCol w:w="456"/>
        <w:gridCol w:w="109"/>
        <w:gridCol w:w="109"/>
        <w:gridCol w:w="109"/>
        <w:gridCol w:w="606"/>
        <w:gridCol w:w="1082"/>
        <w:gridCol w:w="453"/>
      </w:tblGrid>
      <w:tr>
        <w:trPr/>
        <w:tc>
          <w:tcPr>
            <w:tcW w:w="6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Total Number of</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Shares (or Units)</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Purchased as Part of</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Publicly Announced</w:t>
            </w:r>
          </w:p>
          <w:p>
            <w:pPr>
              <w:pStyle w:val="TableContents"/>
              <w:bidi w:val="0"/>
              <w:spacing w:lineRule="auto" w:line="288" w:before="0" w:after="0"/>
              <w:jc w:val="center"/>
              <w:rPr/>
            </w:pPr>
            <w:r>
              <w:rPr>
                <w:rFonts w:ascii="Helvetica;sans-serif" w:hAnsi="Helvetica;sans-serif"/>
                <w:b/>
                <w:color w:val="000000"/>
                <w:sz w:val="16"/>
              </w:rPr>
              <w:t>Plans or Programs</w:t>
            </w:r>
            <w:r>
              <w:rPr>
                <w:rFonts w:ascii="Helvetica;sans-serif" w:hAnsi="Helvetica;sans-serif"/>
                <w:b/>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Approximate Dollar Value of Shares (or Units)</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that May Yet Be</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Purchased Under</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the Plans or</w:t>
            </w:r>
          </w:p>
          <w:p>
            <w:pPr>
              <w:pStyle w:val="TableContents"/>
              <w:bidi w:val="0"/>
              <w:spacing w:lineRule="auto" w:line="288" w:before="0" w:after="0"/>
              <w:jc w:val="center"/>
              <w:rPr/>
            </w:pPr>
            <w:r>
              <w:rPr>
                <w:rFonts w:ascii="Helvetica;sans-serif" w:hAnsi="Helvetica;sans-serif"/>
                <w:b/>
                <w:color w:val="000000"/>
                <w:sz w:val="16"/>
              </w:rPr>
              <w:t>Programs</w:t>
            </w:r>
            <w:r>
              <w:rPr>
                <w:rFonts w:ascii="Helvetica;sans-serif" w:hAnsi="Helvetica;sans-serif"/>
                <w:b/>
                <w:color w:val="000000"/>
                <w:sz w:val="10"/>
              </w:rPr>
              <w:t>(1)</w:t>
            </w:r>
          </w:p>
        </w:tc>
      </w:tr>
      <w:tr>
        <w:trPr/>
        <w:tc>
          <w:tcPr>
            <w:tcW w:w="17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44.32 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4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(1)On February 20, 2025, the Company announced that its Board approved a stock repurchase program that allows the Company to purchase up to $75 million of its outstanding common stock through March 4, 2027, subject to market conditions. All repurchased shares are expected to be retired.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Stock repurchases are at the discretion of our Board and will depend upon our financial condition, results of operations, capital requirements, alternative uses of capital and other factors that our Board may consider at its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Securities Trading Plans of Directors and Executive Officers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During the three months ended June 30, 2026, none of our directors or officers (as defined in Rule 16a-1(f) of the Exchange Act)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8"/>
        <w:gridCol w:w="261"/>
        <w:gridCol w:w="262"/>
        <w:gridCol w:w="109"/>
        <w:gridCol w:w="109"/>
        <w:gridCol w:w="109"/>
        <w:gridCol w:w="2695"/>
        <w:gridCol w:w="2669"/>
        <w:gridCol w:w="3693"/>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 Description</w:t>
            </w:r>
          </w:p>
        </w:tc>
      </w:tr>
      <w:tr>
        <w:trPr/>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signed_ex311x2026q2xceocer.htm">
              <w:r>
                <w:rPr>
                  <w:rStyle w:val="InternetLink"/>
                  <w:rFonts w:ascii="Helvetica;sans-serif" w:hAnsi="Helvetica;sans-serif"/>
                  <w:b w:val="false"/>
                  <w:color w:val="0000FF"/>
                  <w:sz w:val="20"/>
                  <w:u w:val="single"/>
                </w:rPr>
                <w:t>Certification by principal executive officer pursuant to Rule 13a-14(a) or 15d-14(a) under the Securities Exchange Act of 1934, as adopted pursuant to Section 302 of the Sarbanes-Oxley Act of 2002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signed_ex312x2026q2xcfocer.htm">
              <w:r>
                <w:rPr>
                  <w:rStyle w:val="InternetLink"/>
                  <w:rFonts w:ascii="Helvetica;sans-serif" w:hAnsi="Helvetica;sans-serif"/>
                  <w:b w:val="false"/>
                  <w:color w:val="0000FF"/>
                  <w:sz w:val="20"/>
                  <w:u w:val="single"/>
                </w:rPr>
                <w:t>Certification by principal financial officer pursuant to Rule 13a-14(a) or 15d-14(a) under the Securities Exchange Act of 1934, as adopted pursuant to Section 302 of the Sarbanes-Oxley Act of 2002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signed_ex321x2026q2xceocer.htm">
              <w:r>
                <w:rPr>
                  <w:rStyle w:val="InternetLink"/>
                  <w:rFonts w:ascii="Helvetica;sans-serif" w:hAnsi="Helvetica;sans-serif"/>
                  <w:b w:val="false"/>
                  <w:color w:val="0000FF"/>
                  <w:sz w:val="20"/>
                  <w:u w:val="single"/>
                </w:rPr>
                <w:t>Certification by principal executive officer pursuant to 18 U.S.C. Section 1350, as adopted pursuant to Section 906 of the Sarbanes-Oxley Act of 2002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signed_ex322x2026q2xcfocer.htm">
              <w:r>
                <w:rPr>
                  <w:rStyle w:val="InternetLink"/>
                  <w:rFonts w:ascii="Helvetica;sans-serif" w:hAnsi="Helvetica;sans-serif"/>
                  <w:b w:val="false"/>
                  <w:color w:val="0000FF"/>
                  <w:sz w:val="20"/>
                  <w:u w:val="single"/>
                </w:rPr>
                <w:t>Certification by principal financial officer pursuant to 18 U.S.C. Section 1350, as adopted pursuant to Section 906 of the Sarbanes-Oxley Act of 2002</w:t>
              </w:r>
            </w:hyperlink>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on the Interactive Data File because its XBRL tags are embedded within the Inline XBRL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Taxonomy Extension Schema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Taxonomy Extension Calculation Linkbase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Taxonomy Extension Definition Linkbase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Taxonomy Extension Label Linkbase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Taxonomy Extension Presentation Linkbase Document</w:t>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and contained in Exhibit 101)</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vAlign w:val="center"/>
          </w:tcPr>
          <w:p>
            <w:pPr>
              <w:pStyle w:val="TableContents"/>
              <w:bidi w:val="0"/>
              <w:spacing w:before="0" w:after="283"/>
              <w:jc w:val="left"/>
              <w:rPr>
                <w:sz w:val="4"/>
                <w:szCs w:val="4"/>
              </w:rPr>
            </w:pPr>
            <w:r>
              <w:rPr>
                <w:sz w:val="4"/>
                <w:szCs w:val="4"/>
              </w:rPr>
            </w:r>
          </w:p>
        </w:tc>
        <w:tc>
          <w:tcPr>
            <w:tcW w:w="938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Filed herewith.</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Date: July 30, 2026</w:t>
      </w:r>
    </w:p>
    <w:tbl>
      <w:tblPr>
        <w:tblW w:w="6286" w:type="dxa"/>
        <w:jc w:val="right"/>
        <w:tblInd w:w="0" w:type="dxa"/>
        <w:tblLayout w:type="fixed"/>
        <w:tblCellMar>
          <w:top w:w="28" w:type="dxa"/>
          <w:left w:w="28" w:type="dxa"/>
          <w:bottom w:w="28" w:type="dxa"/>
          <w:right w:w="28" w:type="dxa"/>
        </w:tblCellMar>
      </w:tblPr>
      <w:tblGrid>
        <w:gridCol w:w="386"/>
        <w:gridCol w:w="340"/>
        <w:gridCol w:w="340"/>
        <w:gridCol w:w="1521"/>
        <w:gridCol w:w="1521"/>
        <w:gridCol w:w="2178"/>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628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LEONARDO DRS, INC.</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John Baylouny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Name: John Baylouny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Title: President and Chief Executive Officer</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/s/ Michael D. Dippold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Name: Michael D. Dippold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Title: 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Exhibit 31.1</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Pursuant to Exchange Act Rule 13a-14(a)/15d-14(a) as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Adopted Pursuant to Section 302 of the Sarbanes-Oxley Act of 2002</w:t>
      </w:r>
    </w:p>
    <w:p>
      <w:pPr>
        <w:pStyle w:val="TextBody"/>
        <w:bidi w:val="0"/>
        <w:spacing w:before="17"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John Baylouny, certify that:</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for the quarter ended June 30, 2026 of Leonardo DRS, Inc.;</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3"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4" w:after="283"/>
        <w:jc w:val="left"/>
        <w:rPr/>
      </w:pPr>
      <w:r>
        <w:rPr/>
      </w:r>
    </w:p>
    <w:p>
      <w:pPr>
        <w:pStyle w:val="TextBody"/>
        <w:bidi w:val="0"/>
        <w:spacing w:lineRule="auto" w:line="240" w:before="0" w:after="12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0" w:after="12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0" w:after="12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b.    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0" w:after="12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18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lineRule="auto" w:line="273" w:before="0" w:after="120"/>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12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5" w:after="283"/>
        <w:jc w:val="left"/>
        <w:rPr/>
      </w:pPr>
      <w:r>
        <w:rPr/>
      </w:r>
    </w:p>
    <w:p>
      <w:pPr>
        <w:pStyle w:val="TextBody"/>
        <w:bidi w:val="0"/>
        <w:spacing w:before="15"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p>
      <w:pPr>
        <w:pStyle w:val="TextBody"/>
        <w:bidi w:val="0"/>
        <w:spacing w:before="0" w:after="0"/>
        <w:jc w:val="left"/>
        <w:rPr/>
      </w:pPr>
      <w:r>
        <w:rPr/>
      </w:r>
    </w:p>
    <w:tbl>
      <w:tblPr>
        <w:tblW w:w="2850" w:type="dxa"/>
        <w:jc w:val="left"/>
        <w:tblInd w:w="0" w:type="dxa"/>
        <w:tblLayout w:type="fixed"/>
        <w:tblCellMar>
          <w:top w:w="28" w:type="dxa"/>
          <w:left w:w="28" w:type="dxa"/>
          <w:bottom w:w="28" w:type="dxa"/>
          <w:right w:w="28" w:type="dxa"/>
        </w:tblCellMar>
      </w:tblPr>
      <w:tblGrid>
        <w:gridCol w:w="913"/>
        <w:gridCol w:w="802"/>
        <w:gridCol w:w="1135"/>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
              <w:jc w:val="left"/>
              <w:rPr/>
            </w:pPr>
            <w:r>
              <w:rPr/>
            </w:r>
          </w:p>
          <w:p>
            <w:pPr>
              <w:pStyle w:val="TableContents"/>
              <w:bidi w:val="0"/>
              <w:spacing w:lineRule="auto" w:line="417" w:before="0" w:after="2"/>
              <w:jc w:val="left"/>
              <w:rPr>
                <w:color w:val="000000"/>
              </w:rPr>
            </w:pPr>
            <w:r>
              <w:rPr>
                <w:color w:val="000000"/>
              </w:rPr>
              <w:t> </w:t>
            </w:r>
            <w:r>
              <w:rPr>
                <w:rFonts w:ascii="Times New Roman;serif" w:hAnsi="Times New Roman;serif"/>
                <w:b w:val="false"/>
                <w:color w:val="000000"/>
                <w:sz w:val="18"/>
              </w:rPr>
              <w:t>/s/ John Baylouny</w:t>
            </w:r>
          </w:p>
        </w:tc>
      </w:tr>
      <w:tr>
        <w:trPr/>
        <w:tc>
          <w:tcPr>
            <w:tcW w:w="2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Baylouny</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31.2</w:t>
      </w:r>
    </w:p>
    <w:p>
      <w:pPr>
        <w:pStyle w:val="TextBody"/>
        <w:bidi w:val="0"/>
        <w:spacing w:lineRule="auto" w:line="240" w:before="122" w:after="283"/>
        <w:ind w:left="0" w:right="0" w:firstLine="439"/>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40" w:before="0" w:after="0"/>
        <w:ind w:left="0" w:right="0" w:firstLine="4"/>
        <w:jc w:val="center"/>
        <w:rPr>
          <w:rFonts w:ascii="Times New Roman;serif" w:hAnsi="Times New Roman;serif"/>
          <w:b/>
          <w:color w:val="000000"/>
          <w:sz w:val="18"/>
        </w:rPr>
      </w:pPr>
      <w:r>
        <w:rPr>
          <w:rFonts w:ascii="Times New Roman;serif" w:hAnsi="Times New Roman;serif"/>
          <w:b/>
          <w:color w:val="000000"/>
          <w:sz w:val="18"/>
        </w:rPr>
        <w:t>Pursuant to Exchange Act Rule 13a-14(a)/15d-14(a) as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Adopted Pursuant to Section 302 of the Sarbanes-Oxley Act of 2002</w:t>
      </w:r>
    </w:p>
    <w:p>
      <w:pPr>
        <w:pStyle w:val="TextBody"/>
        <w:bidi w:val="0"/>
        <w:spacing w:before="6"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Michael D. Dippold, certify that:</w:t>
      </w:r>
    </w:p>
    <w:p>
      <w:pPr>
        <w:pStyle w:val="TextBody"/>
        <w:bidi w:val="0"/>
        <w:spacing w:before="0" w:after="0"/>
        <w:jc w:val="left"/>
        <w:rPr/>
      </w:pPr>
      <w:r>
        <w:rPr/>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for the quarter ended June 30, 2026 of Leonardo DRS, Inc.;</w:t>
      </w:r>
    </w:p>
    <w:p>
      <w:pPr>
        <w:pStyle w:val="TextBody"/>
        <w:bidi w:val="0"/>
        <w:spacing w:lineRule="auto" w:line="240" w:before="129"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17"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4"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4" w:after="283"/>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30" w:after="283"/>
        <w:ind w:left="0" w:right="0" w:hanging="552"/>
        <w:jc w:val="both"/>
        <w:rPr>
          <w:rFonts w:ascii="Times New Roman;serif" w:hAnsi="Times New Roman;serif"/>
          <w:b w:val="false"/>
          <w:color w:val="000000"/>
          <w:sz w:val="18"/>
        </w:rPr>
      </w:pPr>
      <w:r>
        <w:rPr>
          <w:rFonts w:ascii="Times New Roman;serif" w:hAnsi="Times New Roman;serif"/>
          <w:b w:val="false"/>
          <w:color w:val="000000"/>
          <w:sz w:val="18"/>
        </w:rPr>
        <w:t>b.Designated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30" w:after="283"/>
        <w:ind w:left="0" w:right="0" w:hanging="552"/>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19" w:after="283"/>
        <w:ind w:left="0" w:right="0" w:hanging="552"/>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lineRule="auto" w:line="240" w:before="121"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83" w:after="283"/>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1" w:after="283"/>
        <w:ind w:left="0" w:right="0" w:hanging="552"/>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9" w:after="283"/>
        <w:jc w:val="left"/>
        <w:rPr/>
      </w:pPr>
      <w:r>
        <w:rPr/>
      </w:r>
    </w:p>
    <w:p>
      <w:pPr>
        <w:pStyle w:val="TextBody"/>
        <w:bidi w:val="0"/>
        <w:spacing w:before="9" w:after="283"/>
        <w:jc w:val="left"/>
        <w:rPr/>
      </w:pPr>
      <w:r>
        <w:rPr/>
      </w:r>
    </w:p>
    <w:p>
      <w:pPr>
        <w:pStyle w:val="TextBody"/>
        <w:bidi w:val="0"/>
        <w:spacing w:before="9"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p>
      <w:pPr>
        <w:pStyle w:val="TextBody"/>
        <w:bidi w:val="0"/>
        <w:spacing w:before="0" w:after="0"/>
        <w:jc w:val="left"/>
        <w:rPr/>
      </w:pPr>
      <w:r>
        <w:rPr/>
      </w:r>
    </w:p>
    <w:tbl>
      <w:tblPr>
        <w:tblW w:w="2160" w:type="dxa"/>
        <w:jc w:val="left"/>
        <w:tblInd w:w="0" w:type="dxa"/>
        <w:tblLayout w:type="fixed"/>
        <w:tblCellMar>
          <w:top w:w="28" w:type="dxa"/>
          <w:left w:w="28" w:type="dxa"/>
          <w:bottom w:w="28" w:type="dxa"/>
          <w:right w:w="28" w:type="dxa"/>
        </w:tblCellMar>
      </w:tblPr>
      <w:tblGrid>
        <w:gridCol w:w="690"/>
        <w:gridCol w:w="607"/>
        <w:gridCol w:w="863"/>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D. Dippold</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Michael D. Dippold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1" w:after="283"/>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1" w:after="283"/>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Exhibit 32.1</w:t>
      </w:r>
    </w:p>
    <w:p>
      <w:pPr>
        <w:pStyle w:val="TextBody"/>
        <w:bidi w:val="0"/>
        <w:spacing w:before="2" w:after="283"/>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Principal Executive Officer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18 U.S.C. Section 1350 as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Adopted Pursuant to Section 906 of the Sarbanes-Oxley Act of 2002</w:t>
      </w:r>
    </w:p>
    <w:p>
      <w:pPr>
        <w:pStyle w:val="TextBody"/>
        <w:bidi w:val="0"/>
        <w:spacing w:before="15" w:after="283"/>
        <w:jc w:val="left"/>
        <w:rPr/>
      </w:pPr>
      <w:r>
        <w:rPr/>
      </w:r>
    </w:p>
    <w:p>
      <w:pPr>
        <w:pStyle w:val="TextBody"/>
        <w:bidi w:val="0"/>
        <w:spacing w:before="15"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Leonardo DRS, Inc. (the “Company”) on Form 10-Q for the period ended June 30, 2026,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1.    The Report, which this statement accompanies, fully complies with the requirements of Section 13(a) or 15(d) of the Securities Exchange Act of 1934; and</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p>
      <w:pPr>
        <w:pStyle w:val="TextBody"/>
        <w:bidi w:val="0"/>
        <w:spacing w:before="0" w:after="0"/>
        <w:jc w:val="left"/>
        <w:rPr/>
      </w:pPr>
      <w:r>
        <w:rPr/>
      </w:r>
    </w:p>
    <w:tbl>
      <w:tblPr>
        <w:tblW w:w="2850" w:type="dxa"/>
        <w:jc w:val="left"/>
        <w:tblInd w:w="0" w:type="dxa"/>
        <w:tblLayout w:type="fixed"/>
        <w:tblCellMar>
          <w:top w:w="28" w:type="dxa"/>
          <w:left w:w="28" w:type="dxa"/>
          <w:bottom w:w="28" w:type="dxa"/>
          <w:right w:w="28" w:type="dxa"/>
        </w:tblCellMar>
      </w:tblPr>
      <w:tblGrid>
        <w:gridCol w:w="913"/>
        <w:gridCol w:w="802"/>
        <w:gridCol w:w="1135"/>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
              <w:jc w:val="left"/>
              <w:rPr/>
            </w:pPr>
            <w:r>
              <w:rPr/>
            </w:r>
          </w:p>
          <w:p>
            <w:pPr>
              <w:pStyle w:val="TableContents"/>
              <w:bidi w:val="0"/>
              <w:spacing w:lineRule="auto" w:line="417" w:before="0" w:after="2"/>
              <w:jc w:val="left"/>
              <w:rPr>
                <w:color w:val="000000"/>
              </w:rPr>
            </w:pPr>
            <w:r>
              <w:rPr>
                <w:color w:val="000000"/>
              </w:rPr>
              <w:t> </w:t>
            </w:r>
            <w:r>
              <w:rPr>
                <w:rFonts w:ascii="Times New Roman;serif" w:hAnsi="Times New Roman;serif"/>
                <w:b w:val="false"/>
                <w:color w:val="000000"/>
                <w:sz w:val="18"/>
              </w:rPr>
              <w:t>/s/ John Baylouny</w:t>
            </w:r>
          </w:p>
        </w:tc>
      </w:tr>
      <w:tr>
        <w:trPr/>
        <w:tc>
          <w:tcPr>
            <w:tcW w:w="2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Baylouny</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This written statement accompanies the Report pursuant to Section 906 of the Sarbanes-Oxley Act of 2002 and shall not, except</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the extent required by the Sarbanes-Oxley Act of 2002, be deemed filed by the Company for purposes of Section 18 of the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Exchange Act of 1934.</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32.2</w:t>
      </w:r>
    </w:p>
    <w:p>
      <w:pPr>
        <w:pStyle w:val="TextBody"/>
        <w:bidi w:val="0"/>
        <w:spacing w:lineRule="auto" w:line="240" w:before="146" w:after="283"/>
        <w:jc w:val="center"/>
        <w:rPr>
          <w:rFonts w:ascii="Times New Roman;serif" w:hAnsi="Times New Roman;serif"/>
          <w:b/>
          <w:color w:val="000000"/>
          <w:sz w:val="18"/>
        </w:rPr>
      </w:pPr>
      <w:r>
        <w:rPr>
          <w:rFonts w:ascii="Times New Roman;serif" w:hAnsi="Times New Roman;serif"/>
          <w:b/>
          <w:color w:val="000000"/>
          <w:sz w:val="18"/>
        </w:rPr>
        <w:t>Certification of Principal Financial Officer</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Pursuant to 18 U.S.C. Section 1350 as</w:t>
      </w:r>
    </w:p>
    <w:p>
      <w:pPr>
        <w:pStyle w:val="TextBody"/>
        <w:bidi w:val="0"/>
        <w:spacing w:lineRule="auto" w:line="240" w:before="2" w:after="283"/>
        <w:jc w:val="center"/>
        <w:rPr>
          <w:rFonts w:ascii="Times New Roman;serif" w:hAnsi="Times New Roman;serif"/>
          <w:b/>
          <w:color w:val="000000"/>
          <w:sz w:val="18"/>
        </w:rPr>
      </w:pPr>
      <w:r>
        <w:rPr>
          <w:rFonts w:ascii="Times New Roman;serif" w:hAnsi="Times New Roman;serif"/>
          <w:b/>
          <w:color w:val="000000"/>
          <w:sz w:val="18"/>
        </w:rPr>
        <w:t>Adopted Pursuant to Section 906 of the Sarbanes-Oxley Act of 2002</w:t>
      </w:r>
    </w:p>
    <w:p>
      <w:pPr>
        <w:pStyle w:val="TextBody"/>
        <w:bidi w:val="0"/>
        <w:spacing w:before="4" w:after="283"/>
        <w:jc w:val="left"/>
        <w:rPr/>
      </w:pPr>
      <w:r>
        <w:rPr/>
      </w:r>
    </w:p>
    <w:p>
      <w:pPr>
        <w:pStyle w:val="TextBody"/>
        <w:bidi w:val="0"/>
        <w:spacing w:before="4"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connection with the Quarterly Report of Leonardo DRS, Inc. (the “Company”) on Form 10-Q for the period ended June 30, 2026, as filed with the Securities and Exchange Commission (the “Report”), the undersigned, as the Chief Financial Officer of the Company, hereby certifies pursuant to 18 U.S.C. Section 1350, as adopted pursuant to Section 906 of the Sarbanes-Oxley Act of 2002, that to his knowledge: </w:t>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1.The Report, which this statement accompanies, fully complies with the requirements of Section 13(a) or 15(d) of the Securities Exchange Act of 1934; and</w:t>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p>
      <w:pPr>
        <w:pStyle w:val="TextBody"/>
        <w:bidi w:val="0"/>
        <w:spacing w:before="0" w:after="0"/>
        <w:jc w:val="left"/>
        <w:rPr/>
      </w:pPr>
      <w:r>
        <w:rPr/>
      </w:r>
    </w:p>
    <w:tbl>
      <w:tblPr>
        <w:tblW w:w="2160" w:type="dxa"/>
        <w:jc w:val="left"/>
        <w:tblInd w:w="0" w:type="dxa"/>
        <w:tblLayout w:type="fixed"/>
        <w:tblCellMar>
          <w:top w:w="28" w:type="dxa"/>
          <w:left w:w="28" w:type="dxa"/>
          <w:bottom w:w="28" w:type="dxa"/>
          <w:right w:w="28" w:type="dxa"/>
        </w:tblCellMar>
      </w:tblPr>
      <w:tblGrid>
        <w:gridCol w:w="690"/>
        <w:gridCol w:w="607"/>
        <w:gridCol w:w="863"/>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D. Dippold</w:t>
            </w:r>
          </w:p>
        </w:tc>
      </w:tr>
      <w:tr>
        <w:trPr/>
        <w:tc>
          <w:tcPr>
            <w:tcW w:w="2160"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D. Dippold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2" w:after="283"/>
        <w:jc w:val="left"/>
        <w:rPr/>
      </w:pPr>
      <w:r>
        <w:rPr/>
      </w:r>
    </w:p>
    <w:p>
      <w:pPr>
        <w:pStyle w:val="TextBody"/>
        <w:bidi w:val="0"/>
        <w:spacing w:before="2"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This written statement accompanies the Report pursuant to Section 906 of the Sarbanes-Oxley Act of 2002 and shall not, except</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the extent required by the Sarbanes-Oxley Act of 2002, be deemed filed by the Company for purposes of Section 18 of the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Exchange Act of 1934.</w:t>
      </w:r>
    </w:p>
    <w:p>
      <w:pPr>
        <w:pStyle w:val="TextBody"/>
        <w:bidi w:val="0"/>
        <w:spacing w:before="2"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18339</Words>
  <Characters>100410</Characters>
  <CharactersWithSpaces>117210</CharactersWithSpaces>
  <Paragraphs>2540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